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spacing w:after="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drawing>
          <wp:anchor allowOverlap="true" behindDoc="true" distB="0" distL="114300" distR="114300" distT="0" layoutInCell="true" locked="false" relativeHeight="251658240" simplePos="fals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b="0" l="0" r="0" t="0"/>
            <wp:wrapTight distL="114300" distR="114300" wrapText="bothSides">
              <wp:wrapPolygon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2"/>
                    <a:stretch/>
                  </pic:blipFill>
                  <pic:spPr>
                    <a:xfrm flipH="false" flipV="false" rot="0">
                      <a:ext cx="647700" cy="807720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4000000">
      <w:pPr>
        <w:spacing w:after="0" w:line="360" w:lineRule="auto"/>
        <w:ind/>
        <w:jc w:val="center"/>
        <w:rPr>
          <w:rFonts w:ascii="Times New Roman" w:hAnsi="Times New Roman"/>
          <w:sz w:val="32"/>
        </w:rPr>
      </w:pPr>
    </w:p>
    <w:p w14:paraId="05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</w:p>
    <w:p w14:paraId="06000000">
      <w:pPr>
        <w:spacing w:after="0" w:line="240" w:lineRule="auto"/>
        <w:ind/>
        <w:rPr>
          <w:rFonts w:ascii="Times New Roman" w:hAnsi="Times New Roman"/>
          <w:b w:val="1"/>
          <w:sz w:val="32"/>
        </w:rPr>
      </w:pPr>
    </w:p>
    <w:p w14:paraId="07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П О С Т А Н О В Л Е Н И Е</w:t>
      </w:r>
    </w:p>
    <w:p w14:paraId="08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9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ПРАВИТЕЛЬСТВА</w:t>
      </w:r>
    </w:p>
    <w:p w14:paraId="0A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КАМЧАТСКОГО КРАЯ</w:t>
      </w:r>
    </w:p>
    <w:p w14:paraId="0B000000">
      <w:pPr>
        <w:spacing w:after="0" w:line="276" w:lineRule="auto"/>
        <w:ind w:firstLine="709" w:left="0"/>
        <w:jc w:val="center"/>
        <w:rPr>
          <w:rFonts w:ascii="Times New Roman" w:hAnsi="Times New Roman"/>
          <w:sz w:val="28"/>
        </w:rPr>
      </w:pPr>
    </w:p>
    <w:p w14:paraId="0C000000">
      <w:pPr>
        <w:spacing w:after="0" w:line="240" w:lineRule="auto"/>
        <w:ind w:firstLine="709" w:left="0"/>
        <w:jc w:val="center"/>
        <w:rPr>
          <w:rFonts w:ascii="Times New Roman" w:hAnsi="Times New Roman"/>
          <w:sz w:val="20"/>
        </w:rPr>
      </w:pPr>
    </w:p>
    <w:tbl>
      <w:tblPr>
        <w:tblStyle w:val="Style_2"/>
        <w:tblLayout w:type="fixed"/>
        <w:tblCellMar>
          <w:left w:type="dxa" w:w="0"/>
          <w:right w:type="dxa" w:w="0"/>
        </w:tblCellMar>
      </w:tblPr>
      <w:tblGrid>
        <w:gridCol w:w="4253"/>
      </w:tblGrid>
      <w:tr>
        <w:trPr>
          <w:trHeight w:hRule="atLeast" w:val="427"/>
        </w:trPr>
        <w:tc>
          <w:tcPr>
            <w:tcW w:type="dxa" w:w="4253"/>
            <w:tcMar>
              <w:left w:type="dxa" w:w="0"/>
              <w:right w:type="dxa" w:w="0"/>
            </w:tcMar>
          </w:tcPr>
          <w:p w14:paraId="0D000000">
            <w:pPr>
              <w:spacing w:after="0" w:line="240" w:lineRule="auto"/>
              <w:ind w:hanging="142" w:left="142"/>
              <w:rPr>
                <w:rFonts w:ascii="Times New Roman" w:hAnsi="Times New Roman"/>
                <w:sz w:val="24"/>
              </w:rPr>
            </w:pPr>
            <w:bookmarkStart w:id="1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1"/>
          </w:p>
        </w:tc>
      </w:tr>
      <w:tr>
        <w:trPr>
          <w:trHeight w:hRule="atLeast" w:val="247"/>
        </w:trPr>
        <w:tc>
          <w:tcPr>
            <w:tcW w:type="dxa" w:w="4253"/>
            <w:tcMar>
              <w:left w:type="dxa" w:w="0"/>
              <w:right w:type="dxa" w:w="0"/>
            </w:tcMar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>
        <w:trPr>
          <w:trHeight w:hRule="atLeast" w:val="80"/>
        </w:trPr>
        <w:tc>
          <w:tcPr>
            <w:tcW w:type="dxa" w:w="4253"/>
            <w:tcMar>
              <w:left w:type="dxa" w:w="0"/>
              <w:right w:type="dxa" w:w="0"/>
            </w:tcMar>
          </w:tcPr>
          <w:p w14:paraId="0F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10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tbl>
      <w:tblPr>
        <w:tblStyle w:val="Style_3"/>
        <w:tblInd w:type="dxa" w:w="-142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9779"/>
      </w:tblGrid>
      <w:tr>
        <w:tc>
          <w:tcPr>
            <w:tcW w:type="dxa" w:w="9779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00000">
            <w:pPr>
              <w:ind w:firstLine="0" w:left="30"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 xml:space="preserve">О внесении изменений в государственную программу Камчатского края «Развитие </w:t>
            </w:r>
            <w:r>
              <w:rPr>
                <w:rFonts w:ascii="Times New Roman" w:hAnsi="Times New Roman"/>
                <w:b w:val="1"/>
                <w:sz w:val="28"/>
              </w:rPr>
              <w:t>рыбохозяйственного</w:t>
            </w:r>
            <w:r>
              <w:rPr>
                <w:rFonts w:ascii="Times New Roman" w:hAnsi="Times New Roman"/>
                <w:b w:val="1"/>
                <w:sz w:val="28"/>
              </w:rPr>
              <w:t xml:space="preserve"> комплекса Камчатского края», утвержденную постановлением Правительства Камчатского края от 29.11.2013 № 533-П</w:t>
            </w:r>
          </w:p>
        </w:tc>
      </w:tr>
    </w:tbl>
    <w:p w14:paraId="1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14:paraId="1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6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 Внести в приложение к </w:t>
      </w:r>
      <w:r>
        <w:rPr>
          <w:rFonts w:ascii="Times New Roman" w:hAnsi="Times New Roman"/>
          <w:sz w:val="28"/>
        </w:rPr>
        <w:t xml:space="preserve">постановлению Правительства Камчатского края от 29.11.2013 № 533-П «О государственной программе Камчатского края </w:t>
      </w:r>
      <w:r>
        <w:rPr>
          <w:rFonts w:ascii="Times New Roman" w:hAnsi="Times New Roman"/>
          <w:sz w:val="28"/>
        </w:rPr>
        <w:t xml:space="preserve">«Развитие </w:t>
      </w:r>
      <w:r>
        <w:rPr>
          <w:rFonts w:ascii="Times New Roman" w:hAnsi="Times New Roman"/>
          <w:sz w:val="28"/>
        </w:rPr>
        <w:t>рыбохозяйственного</w:t>
      </w:r>
      <w:r>
        <w:rPr>
          <w:rFonts w:ascii="Times New Roman" w:hAnsi="Times New Roman"/>
          <w:sz w:val="28"/>
        </w:rPr>
        <w:t xml:space="preserve"> комплекса Камчатского края» изменения, изложив его в редакции согласно приложению к настоящему постановлению.</w:t>
      </w:r>
    </w:p>
    <w:p w14:paraId="17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 xml:space="preserve">2. Настоящее постановление </w:t>
      </w:r>
      <w:r>
        <w:rPr>
          <w:rFonts w:ascii="Times New Roman" w:hAnsi="Times New Roman"/>
          <w:sz w:val="28"/>
        </w:rPr>
        <w:t>вступает в силу после дня его официального опубликования</w:t>
      </w:r>
      <w:r>
        <w:rPr>
          <w:rStyle w:val="Style_4_ch"/>
          <w:rFonts w:ascii="Times New Roman" w:hAnsi="Times New Roman"/>
          <w:color w:val="000000"/>
          <w:sz w:val="28"/>
        </w:rPr>
        <w:t xml:space="preserve"> и</w:t>
      </w:r>
      <w:r>
        <w:rPr>
          <w:rStyle w:val="Style_4_ch"/>
          <w:rFonts w:ascii="Times New Roman" w:hAnsi="Times New Roman"/>
          <w:color w:val="000000"/>
          <w:sz w:val="28"/>
        </w:rPr>
        <w:t xml:space="preserve"> распр</w:t>
      </w:r>
      <w:r>
        <w:rPr>
          <w:rStyle w:val="Style_4_ch"/>
          <w:rFonts w:ascii="Times New Roman" w:hAnsi="Times New Roman"/>
          <w:sz w:val="28"/>
        </w:rPr>
        <w:t>остраняется на правоотношения, возникающие с 1 января 2024 года.</w:t>
      </w:r>
    </w:p>
    <w:p w14:paraId="18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9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1A000000">
      <w:pPr>
        <w:spacing w:after="0" w:line="276" w:lineRule="auto"/>
        <w:ind w:firstLine="709" w:left="0"/>
        <w:jc w:val="both"/>
        <w:rPr>
          <w:rFonts w:ascii="Times New Roman" w:hAnsi="Times New Roman"/>
          <w:sz w:val="28"/>
        </w:rPr>
      </w:pPr>
    </w:p>
    <w:tbl>
      <w:tblPr>
        <w:tblStyle w:val="Style_2"/>
        <w:tblInd w:type="dxa" w:w="-34"/>
        <w:tblLayout w:type="fixed"/>
        <w:tblCellMar>
          <w:left w:type="dxa" w:w="0"/>
          <w:right w:type="dxa" w:w="0"/>
        </w:tblCellMar>
      </w:tblPr>
      <w:tblGrid>
        <w:gridCol w:w="3578"/>
        <w:gridCol w:w="3544"/>
        <w:gridCol w:w="2539"/>
      </w:tblGrid>
      <w:tr>
        <w:trPr>
          <w:trHeight w:hRule="atLeast" w:val="2220"/>
        </w:trPr>
        <w:tc>
          <w:tcPr>
            <w:tcW w:type="dxa" w:w="3578"/>
            <w:shd w:fill="auto" w:val="clear"/>
            <w:tcMar>
              <w:left w:type="dxa" w:w="0"/>
              <w:right w:type="dxa" w:w="0"/>
            </w:tcMar>
          </w:tcPr>
          <w:p w14:paraId="1B000000">
            <w:pPr>
              <w:spacing w:after="0" w:line="240" w:lineRule="auto"/>
              <w:ind w:firstLine="0" w:left="30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Председатель Правительства Камчатского края</w:t>
            </w:r>
          </w:p>
          <w:p w14:paraId="1C000000">
            <w:pPr>
              <w:spacing w:after="0" w:line="240" w:lineRule="auto"/>
              <w:ind w:firstLine="0"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544"/>
            <w:shd w:fill="auto" w:val="clear"/>
            <w:tcMar>
              <w:left w:type="dxa" w:w="0"/>
              <w:right w:type="dxa" w:w="0"/>
            </w:tcMar>
          </w:tcPr>
          <w:p w14:paraId="1D000000">
            <w:pPr>
              <w:spacing w:after="0" w:line="240" w:lineRule="auto"/>
              <w:ind w:hanging="3" w:left="3"/>
              <w:rPr>
                <w:rFonts w:ascii="Times New Roman" w:hAnsi="Times New Roman"/>
                <w:color w:val="FFFFFF"/>
                <w:sz w:val="24"/>
              </w:rPr>
            </w:pPr>
            <w:bookmarkStart w:id="2" w:name="SIGNERSTAMP1"/>
            <w:r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2"/>
          </w:p>
          <w:p w14:paraId="1E000000">
            <w:pPr>
              <w:spacing w:after="0" w:line="240" w:lineRule="auto"/>
              <w:ind w:hanging="142" w:left="142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539"/>
            <w:shd w:fill="auto" w:val="clear"/>
            <w:tcMar>
              <w:left w:type="dxa" w:w="0"/>
              <w:right w:type="dxa" w:w="0"/>
            </w:tcMar>
          </w:tcPr>
          <w:p w14:paraId="1F000000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sz w:val="28"/>
              </w:rPr>
            </w:pPr>
          </w:p>
          <w:p w14:paraId="20000000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Е.А. Чекин</w:t>
            </w:r>
          </w:p>
        </w:tc>
      </w:tr>
    </w:tbl>
    <w:p w14:paraId="21000000"/>
    <w:p w14:paraId="22000000">
      <w:r>
        <w:br w:type="page"/>
      </w:r>
    </w:p>
    <w:tbl>
      <w:tblPr>
        <w:tblStyle w:val="Style_3"/>
        <w:tblLayout w:type="fixed"/>
      </w:tblPr>
      <w:tblGrid>
        <w:gridCol w:w="480"/>
        <w:gridCol w:w="480"/>
        <w:gridCol w:w="480"/>
        <w:gridCol w:w="3661"/>
        <w:gridCol w:w="480"/>
        <w:gridCol w:w="1869"/>
        <w:gridCol w:w="486"/>
        <w:gridCol w:w="1701"/>
      </w:tblGrid>
      <w:tr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3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4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5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66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6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536"/>
            <w:gridSpan w:val="4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7000000">
            <w:pPr>
              <w:widowControl w:val="0"/>
              <w:ind w:hanging="8079" w:left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к постановлению</w:t>
            </w:r>
          </w:p>
        </w:tc>
      </w:tr>
      <w:tr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8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9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A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66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B000000">
            <w:pPr>
              <w:widowControl w:val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536"/>
            <w:gridSpan w:val="4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C000000">
            <w:pPr>
              <w:widowControl w:val="0"/>
              <w:ind w:hanging="8079" w:left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D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E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2F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366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30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0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31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type="dxa" w:w="1869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32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color w:val="FFFFFF"/>
                <w:sz w:val="28"/>
              </w:rPr>
            </w:pPr>
            <w:r>
              <w:rPr>
                <w:rFonts w:ascii="Times New Roman" w:hAnsi="Times New Roman"/>
                <w:color w:themeColor="background1" w:val="FFFFFF"/>
                <w:sz w:val="28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z w:val="16"/>
              </w:rPr>
              <w:t>EGDATESTAMP]</w:t>
            </w:r>
          </w:p>
        </w:tc>
        <w:tc>
          <w:tcPr>
            <w:tcW w:type="dxa" w:w="486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33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type="dxa" w:w="1701"/>
            <w:tcBorders>
              <w:top w:sz="4" w:val="nil"/>
              <w:left w:sz="4" w:val="nil"/>
              <w:bottom w:sz="4" w:val="nil"/>
              <w:right w:sz="4" w:val="nil"/>
              <w:tl2br w:sz="4" w:val="nil"/>
              <w:tr2bl w:sz="4" w:val="nil"/>
            </w:tcBorders>
          </w:tcPr>
          <w:p w14:paraId="34000000">
            <w:pPr>
              <w:spacing w:after="60"/>
              <w:ind w:hanging="8079" w:left="8079"/>
              <w:jc w:val="right"/>
              <w:rPr>
                <w:rFonts w:ascii="Times New Roman" w:hAnsi="Times New Roman"/>
                <w:color w:val="FFFFFF"/>
                <w:sz w:val="28"/>
              </w:rPr>
            </w:pPr>
            <w:r>
              <w:rPr>
                <w:rFonts w:ascii="Times New Roman" w:hAnsi="Times New Roman"/>
                <w:color w:themeColor="background1" w:val="FFFFFF"/>
                <w:sz w:val="28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z w:val="16"/>
              </w:rPr>
              <w:t>EGNUMSTAMP]</w:t>
            </w:r>
          </w:p>
        </w:tc>
      </w:tr>
    </w:tbl>
    <w:p w14:paraId="35000000"/>
    <w:p w14:paraId="36000000">
      <w:pPr>
        <w:pStyle w:val="Style_4"/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Государственная программа Камчатского края</w:t>
      </w:r>
    </w:p>
    <w:p w14:paraId="37000000">
      <w:pPr>
        <w:pStyle w:val="Style_4"/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«Развитие </w:t>
      </w:r>
      <w:r>
        <w:rPr>
          <w:rFonts w:ascii="Times New Roman" w:hAnsi="Times New Roman"/>
          <w:sz w:val="28"/>
        </w:rPr>
        <w:t>рыбохозяйственного</w:t>
      </w:r>
      <w:r>
        <w:rPr>
          <w:rFonts w:ascii="Times New Roman" w:hAnsi="Times New Roman"/>
          <w:sz w:val="28"/>
        </w:rPr>
        <w:t xml:space="preserve"> комплекса Камчатского края»</w:t>
      </w:r>
    </w:p>
    <w:p w14:paraId="38000000">
      <w:pPr>
        <w:pStyle w:val="Style_4"/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(далее – Программа)</w:t>
      </w:r>
    </w:p>
    <w:p w14:paraId="39000000">
      <w:pPr>
        <w:pStyle w:val="Style_4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3A000000">
      <w:pPr>
        <w:pStyle w:val="Style_4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</w:t>
      </w:r>
      <w:r>
        <w:rPr>
          <w:rStyle w:val="Style_4_ch"/>
          <w:rFonts w:ascii="Times New Roman" w:hAnsi="Times New Roman"/>
          <w:b w:val="1"/>
          <w:sz w:val="28"/>
        </w:rPr>
        <w:t xml:space="preserve">тратегические приоритеты и цели государственной политики </w:t>
      </w:r>
      <w:r>
        <w:rPr>
          <w:rStyle w:val="Style_4_ch"/>
          <w:rFonts w:ascii="Times New Roman" w:hAnsi="Times New Roman"/>
          <w:b w:val="1"/>
          <w:sz w:val="28"/>
        </w:rPr>
        <w:t xml:space="preserve">Камчатского края в сфере реализации Программы </w:t>
      </w:r>
    </w:p>
    <w:p w14:paraId="3B000000">
      <w:pPr>
        <w:spacing w:after="0"/>
        <w:ind w:firstLine="709" w:left="0"/>
        <w:rPr>
          <w:rFonts w:ascii="Times New Roman" w:hAnsi="Times New Roman"/>
          <w:sz w:val="28"/>
        </w:rPr>
      </w:pPr>
    </w:p>
    <w:p w14:paraId="3C000000">
      <w:pPr>
        <w:pStyle w:val="Style_4"/>
        <w:numPr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b w:val="1"/>
          <w:sz w:val="28"/>
        </w:rPr>
      </w:pPr>
      <w:r>
        <w:rPr>
          <w:rStyle w:val="Style_4_ch"/>
          <w:rFonts w:ascii="Times New Roman" w:hAnsi="Times New Roman"/>
          <w:b w:val="1"/>
          <w:sz w:val="28"/>
        </w:rPr>
        <w:t>Текущее состояние рыбохозяйственного комплекса Камчатского края (тенденции, факторы и проблемные вопросы, определяющие направления развития)</w:t>
      </w:r>
    </w:p>
    <w:p w14:paraId="3D000000">
      <w:pPr>
        <w:pStyle w:val="Style_4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3E000000">
      <w:pPr>
        <w:pStyle w:val="Style_4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Рыбохозяйственны</w:t>
      </w:r>
      <w:r>
        <w:rPr>
          <w:rFonts w:ascii="Times New Roman" w:hAnsi="Times New Roman"/>
          <w:sz w:val="28"/>
        </w:rPr>
        <w:t>й комплекс Камчатского края занимает одно из важнейших мест в рыбном хозяйстве Дальнего Востока и России в целом (его удельный вес в ул</w:t>
      </w:r>
      <w:r>
        <w:rPr>
          <w:rFonts w:ascii="Times New Roman" w:hAnsi="Times New Roman"/>
          <w:sz w:val="28"/>
        </w:rPr>
        <w:t>овах Дальневосточного б</w:t>
      </w:r>
      <w:r>
        <w:rPr>
          <w:rFonts w:ascii="Times New Roman" w:hAnsi="Times New Roman"/>
          <w:sz w:val="28"/>
        </w:rPr>
        <w:t xml:space="preserve">ассейна </w:t>
      </w:r>
      <w:r>
        <w:rPr>
          <w:rFonts w:ascii="Times New Roman" w:hAnsi="Times New Roman"/>
          <w:sz w:val="28"/>
        </w:rPr>
        <w:t xml:space="preserve">составляет </w:t>
      </w:r>
      <w:r>
        <w:rPr>
          <w:rFonts w:ascii="Times New Roman" w:hAnsi="Times New Roman"/>
          <w:sz w:val="28"/>
        </w:rPr>
        <w:t>около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 xml:space="preserve"> %, России 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около</w:t>
      </w:r>
      <w:r>
        <w:rPr>
          <w:rFonts w:ascii="Times New Roman" w:hAnsi="Times New Roman"/>
          <w:sz w:val="28"/>
        </w:rPr>
        <w:t xml:space="preserve"> 30</w:t>
      </w:r>
      <w:r>
        <w:rPr>
          <w:rFonts w:ascii="Times New Roman" w:hAnsi="Times New Roman"/>
          <w:sz w:val="28"/>
        </w:rPr>
        <w:t xml:space="preserve"> %). Ведущую роль рыбохозяйственный комплекс играет и в экономике региона</w:t>
      </w:r>
      <w:r>
        <w:rPr>
          <w:rFonts w:ascii="Times New Roman" w:hAnsi="Times New Roman"/>
          <w:sz w:val="28"/>
        </w:rPr>
        <w:t xml:space="preserve">, на его долю приходится </w:t>
      </w:r>
      <w:r>
        <w:rPr>
          <w:rFonts w:ascii="Times New Roman" w:hAnsi="Times New Roman"/>
          <w:sz w:val="28"/>
        </w:rPr>
        <w:t xml:space="preserve">более 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% объемов промышленного производства и </w:t>
      </w:r>
      <w:r>
        <w:rPr>
          <w:rFonts w:ascii="Times New Roman" w:hAnsi="Times New Roman"/>
          <w:sz w:val="28"/>
        </w:rPr>
        <w:t>более</w:t>
      </w:r>
      <w:r>
        <w:rPr>
          <w:rFonts w:ascii="Times New Roman" w:hAnsi="Times New Roman"/>
          <w:sz w:val="28"/>
        </w:rPr>
        <w:t xml:space="preserve"> 90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% экспортного потенциала края, при числен</w:t>
      </w:r>
      <w:r>
        <w:rPr>
          <w:rFonts w:ascii="Times New Roman" w:hAnsi="Times New Roman"/>
          <w:sz w:val="28"/>
        </w:rPr>
        <w:t>ности занятых в отрасли более 1</w:t>
      </w:r>
      <w:r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тыс. человек.</w:t>
      </w:r>
    </w:p>
    <w:p w14:paraId="3F000000">
      <w:pPr>
        <w:pStyle w:val="Style_4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В</w:t>
      </w:r>
      <w:r>
        <w:rPr>
          <w:rStyle w:val="Style_4_ch"/>
          <w:rFonts w:ascii="Times New Roman" w:hAnsi="Times New Roman"/>
          <w:sz w:val="28"/>
        </w:rPr>
        <w:t xml:space="preserve"> соответствии с официальными статистическими данными в отраслевой структуре валового регионального продукта</w:t>
      </w:r>
      <w:r>
        <w:rPr>
          <w:rStyle w:val="Style_4_ch"/>
          <w:rFonts w:ascii="Times New Roman" w:hAnsi="Times New Roman"/>
          <w:sz w:val="28"/>
        </w:rPr>
        <w:t xml:space="preserve"> </w:t>
      </w:r>
      <w:r>
        <w:rPr>
          <w:rStyle w:val="Style_4_ch"/>
          <w:rFonts w:ascii="Times New Roman" w:hAnsi="Times New Roman"/>
          <w:sz w:val="28"/>
        </w:rPr>
        <w:t xml:space="preserve">Камчатского края доминирующим видом деятельности является </w:t>
      </w:r>
      <w:r>
        <w:rPr>
          <w:rStyle w:val="Style_4_ch"/>
          <w:rFonts w:ascii="Times New Roman" w:hAnsi="Times New Roman"/>
          <w:sz w:val="28"/>
        </w:rPr>
        <w:t xml:space="preserve">«Сельское, лесное хозяйство, охота, рыболовство и рыбоводство», </w:t>
      </w:r>
      <w:r>
        <w:rPr>
          <w:rStyle w:val="Style_4_ch"/>
          <w:rFonts w:ascii="Times New Roman" w:hAnsi="Times New Roman"/>
          <w:sz w:val="28"/>
        </w:rPr>
        <w:t>п</w:t>
      </w:r>
      <w:r>
        <w:rPr>
          <w:rStyle w:val="Style_4_ch"/>
          <w:rFonts w:ascii="Times New Roman" w:hAnsi="Times New Roman"/>
          <w:sz w:val="28"/>
        </w:rPr>
        <w:t>о итогам</w:t>
      </w:r>
      <w:r>
        <w:rPr>
          <w:rStyle w:val="Style_4_ch"/>
          <w:rFonts w:ascii="Times New Roman" w:hAnsi="Times New Roman"/>
          <w:sz w:val="28"/>
        </w:rPr>
        <w:t xml:space="preserve"> 2</w:t>
      </w:r>
      <w:r>
        <w:rPr>
          <w:rStyle w:val="Style_4_ch"/>
          <w:rFonts w:ascii="Times New Roman" w:hAnsi="Times New Roman"/>
          <w:sz w:val="28"/>
        </w:rPr>
        <w:t>021 года</w:t>
      </w:r>
      <w:r>
        <w:rPr>
          <w:rStyle w:val="Style_4_ch"/>
          <w:rFonts w:ascii="Times New Roman" w:hAnsi="Times New Roman"/>
          <w:sz w:val="28"/>
        </w:rPr>
        <w:t xml:space="preserve"> на его долю приходится 30,2 %</w:t>
      </w:r>
      <w:r>
        <w:rPr>
          <w:rStyle w:val="Style_4_ch"/>
          <w:rFonts w:ascii="Times New Roman" w:hAnsi="Times New Roman"/>
          <w:sz w:val="28"/>
        </w:rPr>
        <w:t xml:space="preserve"> ва</w:t>
      </w:r>
      <w:r>
        <w:rPr>
          <w:rStyle w:val="Style_4_ch"/>
          <w:rFonts w:ascii="Times New Roman" w:hAnsi="Times New Roman"/>
          <w:sz w:val="28"/>
        </w:rPr>
        <w:t>ловой добавленной стоимости (101,7 млрд руб.), прогнозная оценк</w:t>
      </w:r>
      <w:r>
        <w:rPr>
          <w:rStyle w:val="Style_4_ch"/>
          <w:rFonts w:ascii="Times New Roman" w:hAnsi="Times New Roman"/>
          <w:sz w:val="28"/>
        </w:rPr>
        <w:t xml:space="preserve">а на </w:t>
      </w:r>
      <w:r>
        <w:rPr>
          <w:rStyle w:val="Style_4_ch"/>
          <w:rFonts w:ascii="Times New Roman" w:hAnsi="Times New Roman"/>
          <w:sz w:val="28"/>
        </w:rPr>
        <w:t>2022 год – 28,4 % (104,7 млрд руб.</w:t>
      </w:r>
      <w:r>
        <w:rPr>
          <w:rStyle w:val="Style_4_ch"/>
          <w:rFonts w:ascii="Times New Roman" w:hAnsi="Times New Roman"/>
          <w:sz w:val="28"/>
        </w:rPr>
        <w:t>), на 2023 год – 27,5% (110,3млрд руб.).</w:t>
      </w:r>
    </w:p>
    <w:p w14:paraId="40000000">
      <w:pPr>
        <w:pStyle w:val="Style_4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Рыбная отрасль является основным звеном</w:t>
      </w:r>
      <w:r>
        <w:rPr>
          <w:rFonts w:ascii="Times New Roman" w:hAnsi="Times New Roman"/>
          <w:sz w:val="28"/>
        </w:rPr>
        <w:t xml:space="preserve"> в хозяйственной структуре Камчатского края, имеет сложный состав и многоотраслевую структуру. Кроме рыбодобычи, рыбопереработки, изучения, охраны и воспроизводства рыбных ресурсов она включает в себя целый ряд вспомогательных и обслуживающих отраслей, а также институты производственной и социальной инфраструктуры. Наиболее важными из них являются судоремонт, строительство, транспорт, тарное и сетеснастное производство.</w:t>
      </w:r>
    </w:p>
    <w:p w14:paraId="4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Морская акватория, прилегающая к территории Камчатского края, является крупнейшим промысловым районом в Дальневосточном регионе. Морские границы Камчатского края охватывают пять рыбопромысловых районов: зона Западно-Беринговоморская; </w:t>
      </w:r>
      <w:r>
        <w:rPr>
          <w:rFonts w:ascii="Times New Roman" w:hAnsi="Times New Roman"/>
          <w:sz w:val="28"/>
        </w:rPr>
        <w:t>подзоны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Карагинская</w:t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t>Петропавловско</w:t>
      </w:r>
      <w:r>
        <w:rPr>
          <w:rFonts w:ascii="Times New Roman" w:hAnsi="Times New Roman"/>
          <w:sz w:val="28"/>
        </w:rPr>
        <w:t xml:space="preserve">-Командорская Восточно-Камчатской зоны, </w:t>
      </w:r>
      <w:r>
        <w:rPr>
          <w:rFonts w:ascii="Times New Roman" w:hAnsi="Times New Roman"/>
          <w:sz w:val="28"/>
        </w:rPr>
        <w:t>подзоны</w:t>
      </w:r>
      <w:r>
        <w:rPr>
          <w:rFonts w:ascii="Times New Roman" w:hAnsi="Times New Roman"/>
          <w:sz w:val="28"/>
        </w:rPr>
        <w:t xml:space="preserve"> Западно-Камчатская и </w:t>
      </w:r>
      <w:r>
        <w:rPr>
          <w:rFonts w:ascii="Times New Roman" w:hAnsi="Times New Roman"/>
          <w:sz w:val="28"/>
        </w:rPr>
        <w:t>Камчатско</w:t>
      </w:r>
      <w:r>
        <w:rPr>
          <w:rFonts w:ascii="Times New Roman" w:hAnsi="Times New Roman"/>
          <w:sz w:val="28"/>
        </w:rPr>
        <w:t>-Курильская зоны Охотского моря.</w:t>
      </w:r>
    </w:p>
    <w:p w14:paraId="4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промысловых районах, прилегающих к Камчатскому краю добываются 5 видов тихоокеанских лососей и более сорока видов морских объектов. Практически все реки на территории Камчатского края имеют рыбохозяйственное значение, обеспечивая нерестовый фонд тихоокеанских лососей и других видов рыб.</w:t>
      </w:r>
    </w:p>
    <w:p w14:paraId="4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настоящее время состояние запасов водных биологических ресурсов позволяет изымать в водах камчатских рек и прилегающих морей ежегодно без ущерба для естественного воспроизводства более 1,5 млн тонн водных биологических ресурсов.</w:t>
      </w:r>
    </w:p>
    <w:p w14:paraId="4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Рыбохозяйственная отрасль является градо- и поселкообразующей отраслью Камчатки, одним из основных источников занятости населения, источником пополнения краевого бюджета, а также играет важную роль в обеспечении населения края и других регионов страны экологически чистой и высококачественной продукцией из водных биологических ресурсов.</w:t>
      </w:r>
    </w:p>
    <w:p w14:paraId="4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постановлением</w:t>
      </w:r>
      <w:r>
        <w:rPr>
          <w:rFonts w:ascii="Times New Roman" w:hAnsi="Times New Roman"/>
          <w:sz w:val="28"/>
        </w:rPr>
        <w:t xml:space="preserve"> Правительства Российской Федерации от 03.09.2004 № 452 «О перечне градо- и поселкообразующих российских рыбохозяйственных организаций, которым предоставлено право применения пониженной ставки сбора за пользование объектами водных биологических ресурсов» градо- и поселкообразующим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рыбохозяйственным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организациям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Камчатского края </w:t>
      </w:r>
      <w:r>
        <w:rPr>
          <w:rFonts w:ascii="Times New Roman" w:hAnsi="Times New Roman"/>
          <w:sz w:val="28"/>
        </w:rPr>
        <w:t>являются</w:t>
      </w:r>
      <w:r>
        <w:rPr>
          <w:rFonts w:ascii="Times New Roman" w:hAnsi="Times New Roman"/>
          <w:sz w:val="28"/>
        </w:rPr>
        <w:t xml:space="preserve"> 7 предприятий – это </w:t>
      </w:r>
      <w:r>
        <w:rPr>
          <w:rFonts w:ascii="Times New Roman" w:hAnsi="Times New Roman"/>
          <w:sz w:val="28"/>
        </w:rPr>
        <w:t xml:space="preserve">Рыболовецкая артель </w:t>
      </w:r>
      <w:r>
        <w:rPr>
          <w:rFonts w:ascii="Times New Roman" w:hAnsi="Times New Roman"/>
          <w:sz w:val="28"/>
        </w:rPr>
        <w:t>«Колхоз Красный труженик», ООО «Тымлатский рыбокомбинат», АО «Озерно</w:t>
      </w:r>
      <w:r>
        <w:rPr>
          <w:rFonts w:ascii="Times New Roman" w:hAnsi="Times New Roman"/>
          <w:sz w:val="28"/>
        </w:rPr>
        <w:t>вский рыбоконсервный завод №</w:t>
      </w:r>
      <w:r>
        <w:rPr>
          <w:rFonts w:ascii="Times New Roman" w:hAnsi="Times New Roman"/>
          <w:sz w:val="28"/>
        </w:rPr>
        <w:t xml:space="preserve"> 55», ООО «Кол</w:t>
      </w:r>
      <w:r>
        <w:rPr>
          <w:rFonts w:ascii="Times New Roman" w:hAnsi="Times New Roman"/>
          <w:sz w:val="28"/>
        </w:rPr>
        <w:t>хоз Ударник», ООО «Дельфин», АО </w:t>
      </w:r>
      <w:r>
        <w:rPr>
          <w:rFonts w:ascii="Times New Roman" w:hAnsi="Times New Roman"/>
          <w:sz w:val="28"/>
        </w:rPr>
        <w:t>«Колхоз им. Бекерева», ОАО «Колхоз Октябрь».</w:t>
      </w:r>
    </w:p>
    <w:p w14:paraId="46000000">
      <w:pPr>
        <w:pStyle w:val="Style_4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</w:t>
      </w:r>
      <w:r>
        <w:rPr>
          <w:rFonts w:ascii="Times New Roman" w:hAnsi="Times New Roman"/>
          <w:sz w:val="28"/>
        </w:rPr>
        <w:t xml:space="preserve">2022 года камчатскими рыбаками добыто 1405 тыс. тонн </w:t>
      </w:r>
      <w:r>
        <w:rPr>
          <w:rFonts w:ascii="Times New Roman" w:hAnsi="Times New Roman"/>
          <w:sz w:val="28"/>
        </w:rPr>
        <w:t>водных биоресурсов.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Первое место в структуре вылова занимает минтай, в 2022 году объем добычи данного объекта составил 724 тыс. </w:t>
      </w:r>
      <w:r>
        <w:rPr>
          <w:rFonts w:ascii="Times New Roman" w:hAnsi="Times New Roman"/>
          <w:sz w:val="28"/>
        </w:rPr>
        <w:t xml:space="preserve">тонн, </w:t>
      </w:r>
      <w:r>
        <w:rPr>
          <w:rFonts w:ascii="Times New Roman" w:hAnsi="Times New Roman"/>
          <w:sz w:val="28"/>
        </w:rPr>
        <w:t>второе и третье места приходятся на</w:t>
      </w:r>
      <w:r>
        <w:rPr>
          <w:rStyle w:val="Style_4_ch"/>
          <w:rFonts w:ascii="Times New Roman" w:hAnsi="Times New Roman"/>
          <w:sz w:val="28"/>
        </w:rPr>
        <w:t xml:space="preserve"> </w:t>
      </w:r>
      <w:r>
        <w:rPr>
          <w:rStyle w:val="Style_4_ch"/>
          <w:rFonts w:ascii="Times New Roman" w:hAnsi="Times New Roman"/>
          <w:sz w:val="28"/>
        </w:rPr>
        <w:t>сельдь и тихоокеанские лососи.</w:t>
      </w:r>
    </w:p>
    <w:p w14:paraId="47000000">
      <w:pPr>
        <w:pStyle w:val="Style_4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данным УФНС России по Камчатскому краю в консолидированный бюджет Российской Федерации </w:t>
      </w:r>
      <w:r>
        <w:rPr>
          <w:rFonts w:ascii="Times New Roman" w:hAnsi="Times New Roman"/>
          <w:sz w:val="28"/>
        </w:rPr>
        <w:t>рыбохозяйственными</w:t>
      </w:r>
      <w:r>
        <w:rPr>
          <w:rFonts w:ascii="Times New Roman" w:hAnsi="Times New Roman"/>
          <w:sz w:val="28"/>
        </w:rPr>
        <w:t xml:space="preserve"> организациями и индивидуальными предпринимателями Камчатского края за 2022 год перечислено 8,4 млрд руб. налоговых и иных обязательных платежей (без учета поступлений в государственные внебюджетные фонды) или 69,3 % к аналогичному периоду прошлого года, налоговая нагрузка на предприятия отрасли составила 5,99 тыс. руб. на тонну добытых водных биологических ресурсов.</w:t>
      </w:r>
    </w:p>
    <w:p w14:paraId="48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настоящее время в Камчатском крае зарегистрировано более 700 организаций, ведущих </w:t>
      </w:r>
      <w:r>
        <w:rPr>
          <w:rFonts w:ascii="Times New Roman" w:hAnsi="Times New Roman"/>
          <w:sz w:val="28"/>
        </w:rPr>
        <w:t>рыбохозяйственную</w:t>
      </w:r>
      <w:r>
        <w:rPr>
          <w:rFonts w:ascii="Times New Roman" w:hAnsi="Times New Roman"/>
          <w:sz w:val="28"/>
        </w:rPr>
        <w:t xml:space="preserve"> деятельность с круглогодичным либо сезонным производственным циклом, более 200 из которых осуществляют вылов водных биологических ресурсов.</w:t>
      </w:r>
    </w:p>
    <w:p w14:paraId="49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Основой рыбной отрасли края является добывающий флот: это около 650 крупно-, средне- и малотоннажных рыбодобывающих судов, обеспечивающих эффективность промысла разных видов гидробионтов.</w:t>
      </w:r>
    </w:p>
    <w:p w14:paraId="4A000000">
      <w:pPr>
        <w:pStyle w:val="Style_4"/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Стоимость основных фондов на конец 2022 года по полной учетной стоимости с учетом переоценки, проведенной на конец года, оценивается в 136 млрд руб.</w:t>
      </w:r>
    </w:p>
    <w:p w14:paraId="4B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Крупнейшими и экономически значимыми компаниями, ведущими хозяйственную деятельность на территории края и обладающими самыми большими добывающими и перерабатывающими мощностями, а также осуществляющими инвестирование в обновление основных производственных фондов, являются 25 </w:t>
      </w:r>
      <w:r>
        <w:rPr>
          <w:rFonts w:ascii="Times New Roman" w:hAnsi="Times New Roman"/>
          <w:sz w:val="28"/>
        </w:rPr>
        <w:t>рыбохозяйственных</w:t>
      </w:r>
      <w:r>
        <w:rPr>
          <w:rFonts w:ascii="Times New Roman" w:hAnsi="Times New Roman"/>
          <w:sz w:val="28"/>
        </w:rPr>
        <w:t xml:space="preserve"> организаций: АО «Океанрыбфлот», Рыболовецкий колхоз им. В.И. Ленина, группа компаний АО «</w:t>
      </w:r>
      <w:r>
        <w:rPr>
          <w:rFonts w:ascii="Times New Roman" w:hAnsi="Times New Roman"/>
          <w:sz w:val="28"/>
        </w:rPr>
        <w:t>Норебо</w:t>
      </w:r>
      <w:r>
        <w:rPr>
          <w:rFonts w:ascii="Times New Roman" w:hAnsi="Times New Roman"/>
          <w:sz w:val="28"/>
        </w:rPr>
        <w:t xml:space="preserve"> Холдинг» (АО «</w:t>
      </w:r>
      <w:r>
        <w:rPr>
          <w:rFonts w:ascii="Times New Roman" w:hAnsi="Times New Roman"/>
          <w:sz w:val="28"/>
        </w:rPr>
        <w:t>Акрос</w:t>
      </w:r>
      <w:r>
        <w:rPr>
          <w:rFonts w:ascii="Times New Roman" w:hAnsi="Times New Roman"/>
          <w:sz w:val="28"/>
        </w:rPr>
        <w:t>», ООО «</w:t>
      </w:r>
      <w:r>
        <w:rPr>
          <w:rFonts w:ascii="Times New Roman" w:hAnsi="Times New Roman"/>
          <w:sz w:val="28"/>
        </w:rPr>
        <w:t>Ролиз</w:t>
      </w:r>
      <w:r>
        <w:rPr>
          <w:rFonts w:ascii="Times New Roman" w:hAnsi="Times New Roman"/>
          <w:sz w:val="28"/>
        </w:rPr>
        <w:t>», АО «Сахалин Лизинг Флот», АО «</w:t>
      </w:r>
      <w:r>
        <w:rPr>
          <w:rFonts w:ascii="Times New Roman" w:hAnsi="Times New Roman"/>
          <w:sz w:val="28"/>
        </w:rPr>
        <w:t>Блаф</w:t>
      </w:r>
      <w:r>
        <w:rPr>
          <w:rFonts w:ascii="Times New Roman" w:hAnsi="Times New Roman"/>
          <w:sz w:val="28"/>
        </w:rPr>
        <w:t>», АО «ЯМСЫ», ООО «</w:t>
      </w:r>
      <w:r>
        <w:rPr>
          <w:rFonts w:ascii="Times New Roman" w:hAnsi="Times New Roman"/>
          <w:sz w:val="28"/>
        </w:rPr>
        <w:t>Магадантралфлот</w:t>
      </w:r>
      <w:r>
        <w:rPr>
          <w:rFonts w:ascii="Times New Roman" w:hAnsi="Times New Roman"/>
          <w:sz w:val="28"/>
        </w:rPr>
        <w:t>», АО «</w:t>
      </w:r>
      <w:r>
        <w:rPr>
          <w:rFonts w:ascii="Times New Roman" w:hAnsi="Times New Roman"/>
          <w:sz w:val="28"/>
        </w:rPr>
        <w:t>Акрос</w:t>
      </w:r>
      <w:r>
        <w:rPr>
          <w:rFonts w:ascii="Times New Roman" w:hAnsi="Times New Roman"/>
          <w:sz w:val="28"/>
        </w:rPr>
        <w:t xml:space="preserve"> 3»), ООО «</w:t>
      </w:r>
      <w:r>
        <w:rPr>
          <w:rFonts w:ascii="Times New Roman" w:hAnsi="Times New Roman"/>
          <w:sz w:val="28"/>
        </w:rPr>
        <w:t>Росрыбфлот</w:t>
      </w:r>
      <w:r>
        <w:rPr>
          <w:rFonts w:ascii="Times New Roman" w:hAnsi="Times New Roman"/>
          <w:sz w:val="28"/>
        </w:rPr>
        <w:t>», ООО «Ме</w:t>
      </w:r>
      <w:r>
        <w:rPr>
          <w:rFonts w:ascii="Times New Roman" w:hAnsi="Times New Roman"/>
          <w:sz w:val="28"/>
        </w:rPr>
        <w:t>ркурий», ООО «Витязь-Авто», ООО </w:t>
      </w:r>
      <w:r>
        <w:rPr>
          <w:rFonts w:ascii="Times New Roman" w:hAnsi="Times New Roman"/>
          <w:sz w:val="28"/>
        </w:rPr>
        <w:t>«Октябрьский-1», ООО «</w:t>
      </w:r>
      <w:r>
        <w:rPr>
          <w:rFonts w:ascii="Times New Roman" w:hAnsi="Times New Roman"/>
          <w:sz w:val="28"/>
        </w:rPr>
        <w:t>Камчаттралфлот</w:t>
      </w:r>
      <w:r>
        <w:rPr>
          <w:rFonts w:ascii="Times New Roman" w:hAnsi="Times New Roman"/>
          <w:sz w:val="28"/>
        </w:rPr>
        <w:t>», ОАО «Колхоз Окт</w:t>
      </w:r>
      <w:r>
        <w:rPr>
          <w:rFonts w:ascii="Times New Roman" w:hAnsi="Times New Roman"/>
          <w:sz w:val="28"/>
        </w:rPr>
        <w:t>ябрь», АО </w:t>
      </w:r>
      <w:r>
        <w:rPr>
          <w:rFonts w:ascii="Times New Roman" w:hAnsi="Times New Roman"/>
          <w:sz w:val="28"/>
        </w:rPr>
        <w:t>«Озерновский РКЗ № 55», ООО «</w:t>
      </w:r>
      <w:r>
        <w:rPr>
          <w:rFonts w:ascii="Times New Roman" w:hAnsi="Times New Roman"/>
          <w:sz w:val="28"/>
        </w:rPr>
        <w:t>Тымлатский</w:t>
      </w:r>
      <w:r>
        <w:rPr>
          <w:rFonts w:ascii="Times New Roman" w:hAnsi="Times New Roman"/>
          <w:sz w:val="28"/>
        </w:rPr>
        <w:t xml:space="preserve"> рыбокомбинат», ООО РПЗ «</w:t>
      </w:r>
      <w:r>
        <w:rPr>
          <w:rFonts w:ascii="Times New Roman" w:hAnsi="Times New Roman"/>
          <w:sz w:val="28"/>
        </w:rPr>
        <w:t>Максимовский</w:t>
      </w:r>
      <w:r>
        <w:rPr>
          <w:rFonts w:ascii="Times New Roman" w:hAnsi="Times New Roman"/>
          <w:sz w:val="28"/>
        </w:rPr>
        <w:t>», ООО «Восточный берег», ООО «</w:t>
      </w:r>
      <w:r>
        <w:rPr>
          <w:rFonts w:ascii="Times New Roman" w:hAnsi="Times New Roman"/>
          <w:sz w:val="28"/>
        </w:rPr>
        <w:t>Укинский</w:t>
      </w:r>
      <w:r>
        <w:rPr>
          <w:rFonts w:ascii="Times New Roman" w:hAnsi="Times New Roman"/>
          <w:sz w:val="28"/>
        </w:rPr>
        <w:t xml:space="preserve"> лиман», ООО «Заря», АО «Колхоз им. </w:t>
      </w:r>
      <w:r>
        <w:rPr>
          <w:rFonts w:ascii="Times New Roman" w:hAnsi="Times New Roman"/>
          <w:sz w:val="28"/>
        </w:rPr>
        <w:t>Бекерева</w:t>
      </w:r>
      <w:r>
        <w:rPr>
          <w:rFonts w:ascii="Times New Roman" w:hAnsi="Times New Roman"/>
          <w:sz w:val="28"/>
        </w:rPr>
        <w:t>», ООО РК «</w:t>
      </w:r>
      <w:r>
        <w:rPr>
          <w:rFonts w:ascii="Times New Roman" w:hAnsi="Times New Roman"/>
          <w:sz w:val="28"/>
        </w:rPr>
        <w:t>Лунтос</w:t>
      </w:r>
      <w:r>
        <w:rPr>
          <w:rFonts w:ascii="Times New Roman" w:hAnsi="Times New Roman"/>
          <w:sz w:val="28"/>
        </w:rPr>
        <w:t xml:space="preserve">», АО «РКЗ «Командор», ООО «ПК РКЗ». По итогам 2022 </w:t>
      </w:r>
      <w:r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 указанные </w:t>
      </w:r>
      <w:r>
        <w:rPr>
          <w:rFonts w:ascii="Times New Roman" w:hAnsi="Times New Roman"/>
          <w:sz w:val="28"/>
        </w:rPr>
        <w:t>рыбохозяйственные</w:t>
      </w:r>
      <w:r>
        <w:rPr>
          <w:rFonts w:ascii="Times New Roman" w:hAnsi="Times New Roman"/>
          <w:sz w:val="28"/>
        </w:rPr>
        <w:t xml:space="preserve"> организации обеспечили добычу около 80 % уловов водных биоресурсов. </w:t>
      </w:r>
    </w:p>
    <w:p w14:paraId="4C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Неотъемлемой частью </w:t>
      </w:r>
      <w:r>
        <w:rPr>
          <w:rFonts w:ascii="Times New Roman" w:hAnsi="Times New Roman"/>
          <w:sz w:val="28"/>
        </w:rPr>
        <w:t>рыбохозяйственного</w:t>
      </w:r>
      <w:r>
        <w:rPr>
          <w:rFonts w:ascii="Times New Roman" w:hAnsi="Times New Roman"/>
          <w:sz w:val="28"/>
        </w:rPr>
        <w:t xml:space="preserve"> комплекса Камчатского края являются береговые перерабатывающие предприятия. В крае построено и действует более 190 </w:t>
      </w:r>
      <w:r>
        <w:rPr>
          <w:rFonts w:ascii="Times New Roman" w:hAnsi="Times New Roman"/>
          <w:sz w:val="28"/>
        </w:rPr>
        <w:t>рыбоперерабатывающих</w:t>
      </w:r>
      <w:r>
        <w:rPr>
          <w:rFonts w:ascii="Times New Roman" w:hAnsi="Times New Roman"/>
          <w:sz w:val="28"/>
        </w:rPr>
        <w:t xml:space="preserve"> заводов, 14 осуществляют выпуск рыбных консервов. Суммарная суточная мощность заводов составляет более 16 тыс. тонн </w:t>
      </w:r>
      <w:r>
        <w:rPr>
          <w:rFonts w:ascii="Times New Roman" w:hAnsi="Times New Roman"/>
          <w:sz w:val="28"/>
        </w:rPr>
        <w:t xml:space="preserve">мороженой продукции, 1,4 млн условных банок консервов, емкости для хранения мороженой продукции составляют более 200 тыс. тонн. Перерабатывающие мощности в основном сконцентрированы в г. Петропавловске-Камчатском, Усть-Большерецком, Соболевском и </w:t>
      </w:r>
      <w:r>
        <w:rPr>
          <w:rFonts w:ascii="Times New Roman" w:hAnsi="Times New Roman"/>
          <w:sz w:val="28"/>
        </w:rPr>
        <w:t>Карагинском</w:t>
      </w:r>
      <w:r>
        <w:rPr>
          <w:rFonts w:ascii="Times New Roman" w:hAnsi="Times New Roman"/>
          <w:sz w:val="28"/>
        </w:rPr>
        <w:t xml:space="preserve"> районах края.</w:t>
      </w:r>
    </w:p>
    <w:p w14:paraId="4D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 xml:space="preserve">Доля рыбоперерабатывающего комплекса Камчатского края в общем объеме промышленного производства региона традиционно очень велика и составляет более 60 %. Объем отгруженных товаров, работ, услуг организациями по виду деятельности «переработка и консервирование рыбы, ракообразных и моллюсков» по фактическим видам деятельности в 2022 </w:t>
      </w:r>
      <w:r>
        <w:rPr>
          <w:rStyle w:val="Style_4_ch"/>
          <w:rFonts w:ascii="Times New Roman" w:hAnsi="Times New Roman"/>
          <w:sz w:val="28"/>
        </w:rPr>
        <w:t>году составил 137 млрд руб. или 97 % к уровню 2021 года, индекс промышленного производства по виду деятельности «переработка и консервирование рыбы, рак</w:t>
      </w:r>
      <w:r>
        <w:rPr>
          <w:rStyle w:val="Style_4_ch"/>
          <w:rFonts w:ascii="Times New Roman" w:hAnsi="Times New Roman"/>
          <w:sz w:val="28"/>
        </w:rPr>
        <w:t>ообразных и моллюсков» составил 79 %.</w:t>
      </w:r>
    </w:p>
    <w:p w14:paraId="4E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Из водных биологических ресурсов, добываемых в акватории Камчатского края, рыбоперерабатывающие предприятия вырабатывают большой ассортимент пищевой, медицинской, кормовой и технической продукции. Ежегодно предприятиями Камчатского края выпускается 900 – 1300 тыс. тонн рыбопродукции, включая рыбные консервы. В 2022 году совокупный объем выпуска продукции из водных биоресурсов составил 1069 тыс. тонн, при этом</w:t>
      </w:r>
      <w:r>
        <w:rPr>
          <w:rStyle w:val="Style_4_ch"/>
          <w:rFonts w:ascii="Times New Roman" w:hAnsi="Times New Roman"/>
          <w:sz w:val="28"/>
        </w:rPr>
        <w:t xml:space="preserve"> об</w:t>
      </w:r>
      <w:r>
        <w:rPr>
          <w:rStyle w:val="Style_4_ch"/>
          <w:rFonts w:ascii="Times New Roman" w:hAnsi="Times New Roman"/>
          <w:sz w:val="28"/>
        </w:rPr>
        <w:t xml:space="preserve">ъем производства </w:t>
      </w:r>
      <w:r>
        <w:rPr>
          <w:rStyle w:val="Style_4_ch"/>
          <w:rFonts w:ascii="Times New Roman" w:hAnsi="Times New Roman"/>
          <w:sz w:val="28"/>
        </w:rPr>
        <w:t>рыбы</w:t>
      </w:r>
      <w:r>
        <w:rPr>
          <w:rStyle w:val="Style_4_ch"/>
          <w:rFonts w:ascii="Times New Roman" w:hAnsi="Times New Roman"/>
          <w:sz w:val="28"/>
        </w:rPr>
        <w:t xml:space="preserve"> переработанной и консервированной, ракообразных и моллюсков за 2022 год составил 998,3 тыс. тонн или 85,8 % к пок</w:t>
      </w:r>
      <w:r>
        <w:rPr>
          <w:rStyle w:val="Style_4_ch"/>
          <w:rFonts w:ascii="Times New Roman" w:hAnsi="Times New Roman"/>
          <w:sz w:val="28"/>
        </w:rPr>
        <w:t xml:space="preserve">азателю за аналогичный период прошлого года. </w:t>
      </w:r>
    </w:p>
    <w:p w14:paraId="4F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На</w:t>
      </w:r>
      <w:r>
        <w:rPr>
          <w:rStyle w:val="Style_4_ch"/>
          <w:rFonts w:ascii="Times New Roman" w:hAnsi="Times New Roman"/>
          <w:sz w:val="28"/>
        </w:rPr>
        <w:t xml:space="preserve"> долю Камчатского края приходится одна четвертая объема производства </w:t>
      </w:r>
      <w:r>
        <w:rPr>
          <w:rStyle w:val="Style_4_ch"/>
          <w:rFonts w:ascii="Times New Roman" w:hAnsi="Times New Roman"/>
          <w:sz w:val="28"/>
        </w:rPr>
        <w:t>рыбы</w:t>
      </w:r>
      <w:r>
        <w:rPr>
          <w:rStyle w:val="Style_4_ch"/>
          <w:rFonts w:ascii="Times New Roman" w:hAnsi="Times New Roman"/>
          <w:sz w:val="28"/>
        </w:rPr>
        <w:t xml:space="preserve"> переработанной и консервированной Российской Федерации и более 40 % Дальневосточного федерального округа. </w:t>
      </w:r>
    </w:p>
    <w:p w14:paraId="50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 xml:space="preserve">По данным </w:t>
      </w:r>
      <w:r>
        <w:rPr>
          <w:rStyle w:val="Style_4_ch"/>
          <w:rFonts w:ascii="Times New Roman" w:hAnsi="Times New Roman"/>
          <w:sz w:val="28"/>
        </w:rPr>
        <w:t>Камчатстата</w:t>
      </w:r>
      <w:r>
        <w:rPr>
          <w:rStyle w:val="Style_4_ch"/>
          <w:rFonts w:ascii="Times New Roman" w:hAnsi="Times New Roman"/>
          <w:sz w:val="28"/>
        </w:rPr>
        <w:t xml:space="preserve"> зафиксировано ежегодное увеличение объема производства </w:t>
      </w:r>
      <w:r>
        <w:rPr>
          <w:rStyle w:val="Style_4_ch"/>
          <w:rFonts w:ascii="Times New Roman" w:hAnsi="Times New Roman"/>
          <w:sz w:val="28"/>
        </w:rPr>
        <w:t>рыбопродукции</w:t>
      </w:r>
      <w:r>
        <w:rPr>
          <w:rStyle w:val="Style_4_ch"/>
          <w:rFonts w:ascii="Times New Roman" w:hAnsi="Times New Roman"/>
          <w:sz w:val="28"/>
        </w:rPr>
        <w:t xml:space="preserve"> глубокой степени переработки.</w:t>
      </w:r>
    </w:p>
    <w:p w14:paraId="5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 xml:space="preserve">Часть произведенной </w:t>
      </w:r>
      <w:r>
        <w:rPr>
          <w:rStyle w:val="Style_4_ch"/>
          <w:rFonts w:ascii="Times New Roman" w:hAnsi="Times New Roman"/>
          <w:sz w:val="28"/>
        </w:rPr>
        <w:t>рыбопродукции</w:t>
      </w:r>
      <w:r>
        <w:rPr>
          <w:rStyle w:val="Style_4_ch"/>
          <w:rFonts w:ascii="Times New Roman" w:hAnsi="Times New Roman"/>
          <w:sz w:val="28"/>
        </w:rPr>
        <w:t xml:space="preserve"> поставляется на</w:t>
      </w:r>
      <w:r>
        <w:rPr>
          <w:rFonts w:ascii="Times New Roman" w:hAnsi="Times New Roman"/>
          <w:sz w:val="28"/>
        </w:rPr>
        <w:t xml:space="preserve"> экспорт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Основными потребителями камчатской рыбной продукции являются страны Азиатско-Тихоокеанского региона: Республика Корея, Китай, Япония. </w:t>
      </w:r>
      <w:r>
        <w:rPr>
          <w:rFonts w:ascii="Times New Roman" w:hAnsi="Times New Roman"/>
          <w:sz w:val="28"/>
        </w:rPr>
        <w:t xml:space="preserve">По данным Федеральной таможенной статистики по состоянию на 31.12.2022 объем экспорта </w:t>
      </w:r>
      <w:r>
        <w:rPr>
          <w:rFonts w:ascii="Times New Roman" w:hAnsi="Times New Roman"/>
          <w:sz w:val="28"/>
        </w:rPr>
        <w:t>рыбо</w:t>
      </w:r>
      <w:r>
        <w:rPr>
          <w:rFonts w:ascii="Times New Roman" w:hAnsi="Times New Roman"/>
          <w:sz w:val="28"/>
        </w:rPr>
        <w:t xml:space="preserve">- и </w:t>
      </w:r>
      <w:r>
        <w:rPr>
          <w:rFonts w:ascii="Times New Roman" w:hAnsi="Times New Roman"/>
          <w:sz w:val="28"/>
        </w:rPr>
        <w:t>морепродукции</w:t>
      </w:r>
      <w:r>
        <w:rPr>
          <w:rFonts w:ascii="Times New Roman" w:hAnsi="Times New Roman"/>
          <w:sz w:val="28"/>
        </w:rPr>
        <w:t>, включая непищевую продукцию, в 1,4 раза выше показателя прошлого года.</w:t>
      </w:r>
    </w:p>
    <w:p w14:paraId="5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Камчатский край поставляет пищевую рыбную продукцию и на внутренний рынок страны, преимущественно в Приморский край (более 70 % объема поставок). Также вывоз продукции осуществляется в г. Санкт-Петербург, г. Москва, Московскую область, Мурманскую область, Краснодарский край, Пермский край, Нижегородскую область, Свердловскую область, Новосибирскую область, Хабаровский край, Сахалинскую область и другие субъекты Российской Федерации.</w:t>
      </w:r>
    </w:p>
    <w:p w14:paraId="5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В настоящее время заключены и успешно реализуются межрегиональные соглашения о сотрудничестве в торгово-экономической, научно-технической, социальной, культурной и иных сферах между Правительством Камчатского края и Правительством Алтайского края, Правительством Республики Саха (Якутия), Правительством Сахалинской области, Советом министров Республики Крым, Правительством Хабаровского края, Правительством Ямало-Ненецкого автономного округа, Правительством Амурской области, Правительством Москвы, Правительством Ленинградской области по созданию условий для установления прямых связей организаций-товаропроизводителей Камчатского края с организациями, осуществляющими торговую деятельность на территории указанных субъектов.</w:t>
      </w:r>
    </w:p>
    <w:p w14:paraId="5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Особое значение для увеличения поставок рыбо- и морепродукции камчатских производителей в центральные регионы Российской Федерации имеет развитие Северного морского пути.</w:t>
      </w:r>
    </w:p>
    <w:p w14:paraId="5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 xml:space="preserve">В 2022 году атомным </w:t>
      </w:r>
      <w:r>
        <w:rPr>
          <w:rStyle w:val="Style_4_ch"/>
          <w:rFonts w:ascii="Times New Roman" w:hAnsi="Times New Roman"/>
          <w:sz w:val="28"/>
        </w:rPr>
        <w:t>лихтеровозом</w:t>
      </w:r>
      <w:r>
        <w:rPr>
          <w:rStyle w:val="Style_4_ch"/>
          <w:rFonts w:ascii="Times New Roman" w:hAnsi="Times New Roman"/>
          <w:sz w:val="28"/>
        </w:rPr>
        <w:t xml:space="preserve"> «Севморпуть» по маршруту «Морской порт Петропавловск-Камчатский – Большой порт Санкт-Петербург» доставлено 65 контейнеров со свежемороженой рыбой:</w:t>
      </w:r>
    </w:p>
    <w:p w14:paraId="56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– в рамках первого регулярного рейса фактический объем загрузки рыбной продукции составил 21 сорокафутовый контейнер общим весом 664 тонн (грузоотправитель – АО «Океанрыбфлот»);</w:t>
      </w:r>
    </w:p>
    <w:p w14:paraId="57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– в рамках второго регулярного рейса фактический объем загрузки рыбной продукции составил 44 сорокафутовых контейнера общим весом 1188 тонн (грузоотправитель – АО «Норебо Холдинг»).</w:t>
      </w:r>
    </w:p>
    <w:p w14:paraId="58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В Камчатском крае получило свое развитие искусственное воспроизводство тихоокеанских лососей на пяти лососе</w:t>
      </w:r>
      <w:r>
        <w:rPr>
          <w:rFonts w:ascii="Times New Roman" w:hAnsi="Times New Roman"/>
          <w:sz w:val="28"/>
        </w:rPr>
        <w:t>вых рыбоводных заводах Северо-Восточного филиала ФГБУ «Главрыбвод». Тихоокеанские лососи являются ценнейшим восполняемым природным ресурсом и национальным д</w:t>
      </w:r>
      <w:r>
        <w:rPr>
          <w:rFonts w:ascii="Times New Roman" w:hAnsi="Times New Roman"/>
          <w:sz w:val="28"/>
        </w:rPr>
        <w:t xml:space="preserve">остоянием России. Для Камчатки – </w:t>
      </w:r>
      <w:r>
        <w:rPr>
          <w:rFonts w:ascii="Times New Roman" w:hAnsi="Times New Roman"/>
          <w:sz w:val="28"/>
        </w:rPr>
        <w:t>это биологический ресурс, имеющий ключевое значение для сбалансированного функционирования природных экосистем и устойчивого развития рыбохозяйственного комплекса, как основы стабильного социально-экономического положения региона.</w:t>
      </w:r>
    </w:p>
    <w:p w14:paraId="59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Рыбохозяйственный комплекс Камчатского края располагает хорошим научно-техническим потенциалом. В его составе функционируют научно- исследовательские и проектно-конструкторские организации </w:t>
      </w:r>
      <w:r>
        <w:rPr>
          <w:rFonts w:ascii="Times New Roman" w:hAnsi="Times New Roman"/>
          <w:sz w:val="28"/>
        </w:rPr>
        <w:t>(Камчатский филиал ФГБН</w:t>
      </w:r>
      <w:r>
        <w:rPr>
          <w:rFonts w:ascii="Times New Roman" w:hAnsi="Times New Roman"/>
          <w:sz w:val="28"/>
        </w:rPr>
        <w:t xml:space="preserve">У «ВНИРО» («КамчатНИРО»), </w:t>
      </w:r>
      <w:r>
        <w:rPr>
          <w:rFonts w:ascii="Times New Roman" w:hAnsi="Times New Roman"/>
          <w:sz w:val="28"/>
        </w:rPr>
        <w:t>ООО ТЦ «Интехкам»,</w:t>
      </w:r>
      <w:r>
        <w:rPr>
          <w:rFonts w:ascii="Times New Roman" w:hAnsi="Times New Roman"/>
          <w:sz w:val="28"/>
        </w:rPr>
        <w:t xml:space="preserve"> образовательные учреждения, осуществляющие подготовку специалистов и рабочих кадров (ФГБОУ ВО «КамчатГТУ», </w:t>
      </w:r>
      <w:r>
        <w:rPr>
          <w:rFonts w:ascii="Times New Roman" w:hAnsi="Times New Roman"/>
          <w:sz w:val="28"/>
        </w:rPr>
        <w:t xml:space="preserve">КГПОАУ </w:t>
      </w:r>
      <w:r>
        <w:rPr>
          <w:rFonts w:ascii="Times New Roman" w:hAnsi="Times New Roman"/>
          <w:sz w:val="28"/>
        </w:rPr>
        <w:t xml:space="preserve">«Камчатский политехнический техникум», КГПОАУ «Камчатский морской энергетический техникум», </w:t>
      </w:r>
      <w:r>
        <w:rPr>
          <w:rFonts w:ascii="Times New Roman" w:hAnsi="Times New Roman"/>
          <w:sz w:val="28"/>
        </w:rPr>
        <w:t>АО «УКК КК»</w:t>
      </w:r>
      <w:r>
        <w:rPr>
          <w:rFonts w:ascii="Times New Roman" w:hAnsi="Times New Roman"/>
          <w:sz w:val="28"/>
        </w:rPr>
        <w:t>).</w:t>
      </w:r>
    </w:p>
    <w:p w14:paraId="5A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Камчатский край на протяжении последних лет является лидером по объему инвестиций в </w:t>
      </w:r>
      <w:r>
        <w:rPr>
          <w:rFonts w:ascii="Times New Roman" w:hAnsi="Times New Roman"/>
          <w:sz w:val="28"/>
        </w:rPr>
        <w:t>рыбохозяйственный</w:t>
      </w:r>
      <w:r>
        <w:rPr>
          <w:rFonts w:ascii="Times New Roman" w:hAnsi="Times New Roman"/>
          <w:sz w:val="28"/>
        </w:rPr>
        <w:t xml:space="preserve"> комплекс Российской Федерации. Объем инвестиций в основной капитал в 2017 году составил 8,6 млрд руб., в 2018 году – 8,8 млрд руб., в 2019 году – 11,8 млрд руб., в 2020 году – 19,2 млрд руб., в 2021 году – 24,3 млрд руб., в 2022 году – 23,2 млрд руб. </w:t>
      </w:r>
    </w:p>
    <w:p w14:paraId="5B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Созданные в Российской Федерации и Камчатском крае благоприятные условия способствует увеличению заинтересованности организаций в  финансировании инвестиционных проектов в сфере рыбохозяйственного комплекса.</w:t>
      </w:r>
    </w:p>
    <w:p w14:paraId="5C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К основным мерам государственной поддержки следует отнести пониженные ставки сбора за п</w:t>
      </w:r>
      <w:r>
        <w:rPr>
          <w:rStyle w:val="Style_4_ch"/>
          <w:rFonts w:ascii="Times New Roman" w:hAnsi="Times New Roman"/>
          <w:sz w:val="28"/>
        </w:rPr>
        <w:t xml:space="preserve">ользование объектами водных биологических ресурсов для отдельных категорий организаций, специальный режим </w:t>
      </w:r>
      <w:r>
        <w:rPr>
          <w:rStyle w:val="Style_4_ch"/>
          <w:rFonts w:ascii="Times New Roman" w:hAnsi="Times New Roman"/>
          <w:sz w:val="28"/>
        </w:rPr>
        <w:t xml:space="preserve">налогообложения – единый сельскохозяйственный налог, программу инвестиционных квот, льготную ставку по налогу на имущество организаций, </w:t>
      </w:r>
      <w:r>
        <w:rPr>
          <w:rStyle w:val="Style_4_ch"/>
          <w:rFonts w:ascii="Times New Roman" w:hAnsi="Times New Roman"/>
          <w:sz w:val="28"/>
        </w:rPr>
        <w:t>налоговые льготы</w:t>
      </w:r>
      <w:r>
        <w:rPr>
          <w:rStyle w:val="Style_4_ch"/>
          <w:rFonts w:ascii="Times New Roman" w:hAnsi="Times New Roman"/>
          <w:sz w:val="28"/>
        </w:rPr>
        <w:t xml:space="preserve"> и </w:t>
      </w:r>
      <w:r>
        <w:rPr>
          <w:rStyle w:val="Style_4_ch"/>
          <w:rFonts w:ascii="Times New Roman" w:hAnsi="Times New Roman"/>
          <w:sz w:val="28"/>
        </w:rPr>
        <w:t>преференции в рамках территории опережающего социально-экономического развития «Камчатка»</w:t>
      </w:r>
      <w:r>
        <w:rPr>
          <w:rStyle w:val="Style_4_ch"/>
          <w:rFonts w:ascii="Times New Roman" w:hAnsi="Times New Roman"/>
          <w:sz w:val="28"/>
        </w:rPr>
        <w:t xml:space="preserve"> </w:t>
      </w:r>
      <w:r>
        <w:rPr>
          <w:rStyle w:val="Style_4_ch"/>
          <w:rFonts w:ascii="Times New Roman" w:hAnsi="Times New Roman"/>
          <w:sz w:val="28"/>
        </w:rPr>
        <w:t>и Свободный порт Владивосток.</w:t>
      </w:r>
    </w:p>
    <w:p w14:paraId="5D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 xml:space="preserve">В целом за период с 2008 по 2022 год предприятиями </w:t>
      </w:r>
      <w:r>
        <w:rPr>
          <w:rStyle w:val="Style_4_ch"/>
          <w:rFonts w:ascii="Times New Roman" w:hAnsi="Times New Roman"/>
          <w:sz w:val="28"/>
        </w:rPr>
        <w:t>рыбохозяйственного</w:t>
      </w:r>
      <w:r>
        <w:rPr>
          <w:rStyle w:val="Style_4_ch"/>
          <w:rFonts w:ascii="Times New Roman" w:hAnsi="Times New Roman"/>
          <w:sz w:val="28"/>
        </w:rPr>
        <w:t xml:space="preserve"> комплекса в развитие своих береговых перерабатывающих мощностей и модернизацию рыбопромыслового флота вложено порядка 120 млрд руб. (2008–2018 годы – 40 млрд руб., 2019–2022 годы – 79 млрд руб.), на побережьях полуострова построено 35 современных завода (с новейшим </w:t>
      </w:r>
      <w:r>
        <w:rPr>
          <w:rStyle w:val="Style_4_ch"/>
          <w:rFonts w:ascii="Times New Roman" w:hAnsi="Times New Roman"/>
          <w:sz w:val="28"/>
        </w:rPr>
        <w:t>рыбоперерабатывающим</w:t>
      </w:r>
      <w:r>
        <w:rPr>
          <w:rStyle w:val="Style_4_ch"/>
          <w:rFonts w:ascii="Times New Roman" w:hAnsi="Times New Roman"/>
          <w:sz w:val="28"/>
        </w:rPr>
        <w:t xml:space="preserve"> оборудованием), мощностью от 150 до 445 тонн в сутки, нацеленных на выпуск высококачественной и рентабельной рыбной продукции, производственные мощности увеличены более чем на 7 500 тонн в сутки, объем холодильных мощностей для хранения </w:t>
      </w:r>
      <w:r>
        <w:rPr>
          <w:rStyle w:val="Style_4_ch"/>
          <w:rFonts w:ascii="Times New Roman" w:hAnsi="Times New Roman"/>
          <w:sz w:val="28"/>
        </w:rPr>
        <w:t>рыбопродукции</w:t>
      </w:r>
      <w:r>
        <w:rPr>
          <w:rStyle w:val="Style_4_ch"/>
          <w:rFonts w:ascii="Times New Roman" w:hAnsi="Times New Roman"/>
          <w:sz w:val="28"/>
        </w:rPr>
        <w:t xml:space="preserve"> – более чем на 57 тыс. тонн, дополнительно создано более 6 800 рабочих мест, построено, приобретено и модернизировано 30 судов.</w:t>
      </w:r>
    </w:p>
    <w:p w14:paraId="5E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 xml:space="preserve">Камчатские предприятия принимают активное участие в «инвестиционных кампаниях», проводимых </w:t>
      </w:r>
      <w:r>
        <w:rPr>
          <w:rStyle w:val="Style_4_ch"/>
          <w:rFonts w:ascii="Times New Roman" w:hAnsi="Times New Roman"/>
          <w:sz w:val="28"/>
        </w:rPr>
        <w:t>Росрыболовством</w:t>
      </w:r>
      <w:r>
        <w:rPr>
          <w:rStyle w:val="Style_4_ch"/>
          <w:rFonts w:ascii="Times New Roman" w:hAnsi="Times New Roman"/>
          <w:sz w:val="28"/>
        </w:rPr>
        <w:t xml:space="preserve">. </w:t>
      </w:r>
      <w:r>
        <w:rPr>
          <w:rStyle w:val="Style_4_ch"/>
          <w:rFonts w:ascii="Times New Roman" w:hAnsi="Times New Roman"/>
          <w:sz w:val="28"/>
        </w:rPr>
        <w:t>Предприятия Камчатского края в числе первых приняли участие в но</w:t>
      </w:r>
      <w:r>
        <w:rPr>
          <w:rFonts w:ascii="Times New Roman" w:hAnsi="Times New Roman"/>
          <w:sz w:val="28"/>
        </w:rPr>
        <w:t>вых отраслевых инициативах по строительству флота и береговых заводов, взяв на себя обязательства по строительству 32 инвестиционных объектов в рамках первого этапа программы инвестиционных квот.</w:t>
      </w:r>
    </w:p>
    <w:p w14:paraId="5F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01.01.2023 за 14 предприятиями региона закреплены доли квот на добычу водных биологических ресурсов под инвестиционные обязательства по строительству 8 </w:t>
      </w:r>
      <w:r>
        <w:rPr>
          <w:rFonts w:ascii="Times New Roman" w:hAnsi="Times New Roman"/>
          <w:sz w:val="28"/>
        </w:rPr>
        <w:t>рыбоперерабатывающих</w:t>
      </w:r>
      <w:r>
        <w:rPr>
          <w:rFonts w:ascii="Times New Roman" w:hAnsi="Times New Roman"/>
          <w:sz w:val="28"/>
        </w:rPr>
        <w:t xml:space="preserve"> заводов и 24 рыбопромысловых судов. </w:t>
      </w:r>
    </w:p>
    <w:p w14:paraId="60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Плановый объем инвестиций составил порядка 64 млрд руб., в том числе:</w:t>
      </w:r>
    </w:p>
    <w:p w14:paraId="6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на строительство перерабатывающих заводов – 12 млрд руб.;</w:t>
      </w:r>
    </w:p>
    <w:p w14:paraId="6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на строительство рыболовных судов – 52 млрд руб.</w:t>
      </w:r>
    </w:p>
    <w:p w14:paraId="6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Фактический объем инвестиций составил порядка 34 млрд руб., в том числе:</w:t>
      </w:r>
    </w:p>
    <w:p w14:paraId="64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– на строительство перерабатывающи</w:t>
      </w:r>
      <w:r>
        <w:rPr>
          <w:rFonts w:ascii="Times New Roman" w:hAnsi="Times New Roman"/>
          <w:color w:val="000000"/>
          <w:sz w:val="28"/>
        </w:rPr>
        <w:t>х заводов – 12 млрд руб.;</w:t>
      </w:r>
    </w:p>
    <w:p w14:paraId="65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– на строительство рыболовных судов – 22 млрд руб.</w:t>
      </w:r>
    </w:p>
    <w:p w14:paraId="66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 настоящее время на территории Камчатского края реализованы проекты по строительству 7 береговых </w:t>
      </w:r>
      <w:r>
        <w:rPr>
          <w:rFonts w:ascii="Times New Roman" w:hAnsi="Times New Roman"/>
          <w:color w:val="000000"/>
          <w:sz w:val="28"/>
        </w:rPr>
        <w:t>рыбоперерабатывающих</w:t>
      </w:r>
      <w:r>
        <w:rPr>
          <w:rFonts w:ascii="Times New Roman" w:hAnsi="Times New Roman"/>
          <w:color w:val="000000"/>
          <w:sz w:val="28"/>
        </w:rPr>
        <w:t xml:space="preserve"> заводов </w:t>
      </w:r>
      <w:r>
        <w:rPr>
          <w:rFonts w:ascii="Times New Roman" w:hAnsi="Times New Roman"/>
          <w:color w:val="000000"/>
          <w:sz w:val="28"/>
        </w:rPr>
        <w:t>(по переработке минтая и иных видов рыб большой мощности: ООО «</w:t>
      </w:r>
      <w:r>
        <w:rPr>
          <w:rFonts w:ascii="Times New Roman" w:hAnsi="Times New Roman"/>
          <w:color w:val="000000"/>
          <w:sz w:val="28"/>
        </w:rPr>
        <w:t>Камчаттралфлот</w:t>
      </w:r>
      <w:r>
        <w:rPr>
          <w:rFonts w:ascii="Times New Roman" w:hAnsi="Times New Roman"/>
          <w:color w:val="000000"/>
          <w:sz w:val="28"/>
        </w:rPr>
        <w:t>», ООО «Витязь-Авто», Рыболовецкий колхоз им. В.И. Ленина, АО «РКЗ «Командор»; по переработке рыбы (кроме минтая) малой мощности: ООО «</w:t>
      </w:r>
      <w:r>
        <w:rPr>
          <w:rFonts w:ascii="Times New Roman" w:hAnsi="Times New Roman"/>
          <w:color w:val="000000"/>
          <w:sz w:val="28"/>
        </w:rPr>
        <w:t>Укинский</w:t>
      </w:r>
      <w:r>
        <w:rPr>
          <w:rFonts w:ascii="Times New Roman" w:hAnsi="Times New Roman"/>
          <w:color w:val="000000"/>
          <w:sz w:val="28"/>
        </w:rPr>
        <w:t xml:space="preserve"> лиман», ООО «Заря», ООО «Октябрьский-1»)</w:t>
      </w:r>
      <w:r>
        <w:rPr>
          <w:rFonts w:ascii="Times New Roman" w:hAnsi="Times New Roman"/>
          <w:color w:val="000000"/>
          <w:sz w:val="28"/>
        </w:rPr>
        <w:t xml:space="preserve">, что позволило увеличить производственные мощности в регионе на 1,2 тыс. тонн, создать более 1,3 тыс. новых рабочих мест. </w:t>
      </w:r>
    </w:p>
    <w:p w14:paraId="67000000">
      <w:pPr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Также под инвестиционные квоты </w:t>
      </w:r>
      <w:r>
        <w:rPr>
          <w:rFonts w:ascii="Times New Roman" w:hAnsi="Times New Roman"/>
          <w:color w:val="000000"/>
          <w:sz w:val="28"/>
        </w:rPr>
        <w:t>Рыболовецким колхозом им. В.И. Ленина на российской судостроительной верфи (АО «Прибалтийский судостроительный завод «Янтарь»)</w:t>
      </w:r>
      <w:r>
        <w:rPr>
          <w:rFonts w:ascii="Times New Roman" w:hAnsi="Times New Roman"/>
          <w:color w:val="000000"/>
          <w:sz w:val="28"/>
        </w:rPr>
        <w:t xml:space="preserve"> построено 3 средних траулера-сейнера</w:t>
      </w:r>
      <w:r>
        <w:rPr>
          <w:rFonts w:ascii="Times New Roman" w:hAnsi="Times New Roman"/>
          <w:color w:val="000000"/>
          <w:sz w:val="28"/>
        </w:rPr>
        <w:t xml:space="preserve">: СТР «Командор», СТР «Ленинец», Рыболовное судно «Василий </w:t>
      </w:r>
      <w:r>
        <w:rPr>
          <w:rFonts w:ascii="Times New Roman" w:hAnsi="Times New Roman"/>
          <w:color w:val="000000"/>
          <w:sz w:val="28"/>
        </w:rPr>
        <w:t>Каплюк</w:t>
      </w:r>
      <w:r>
        <w:rPr>
          <w:rFonts w:ascii="Times New Roman" w:hAnsi="Times New Roman"/>
          <w:color w:val="000000"/>
          <w:sz w:val="28"/>
        </w:rPr>
        <w:t>».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68000000">
      <w:pPr>
        <w:spacing w:after="0" w:line="240" w:lineRule="auto"/>
        <w:ind w:firstLine="709" w:left="0"/>
        <w:jc w:val="both"/>
        <w:rPr>
          <w:rFonts w:ascii="Times New Roman" w:hAnsi="Times New Roman"/>
          <w:i w:val="0"/>
          <w:sz w:val="28"/>
        </w:rPr>
      </w:pPr>
      <w:r>
        <w:rPr>
          <w:rFonts w:ascii="Times New Roman" w:hAnsi="Times New Roman"/>
          <w:sz w:val="28"/>
        </w:rPr>
        <w:t>В 2023 году в рамках реализации инвестиционных проектов продолжится строительство 22 объек</w:t>
      </w:r>
      <w:r>
        <w:rPr>
          <w:rFonts w:ascii="Times New Roman" w:hAnsi="Times New Roman"/>
          <w:i w:val="0"/>
          <w:sz w:val="28"/>
        </w:rPr>
        <w:t xml:space="preserve">тов: </w:t>
      </w:r>
      <w:r>
        <w:rPr>
          <w:rFonts w:ascii="Times New Roman" w:hAnsi="Times New Roman"/>
          <w:i w:val="0"/>
          <w:sz w:val="28"/>
        </w:rPr>
        <w:t xml:space="preserve">21 судна рыбопромыслового флота, включая 5 крупнотоннажных, 10 </w:t>
      </w:r>
      <w:r>
        <w:rPr>
          <w:rFonts w:ascii="Times New Roman" w:hAnsi="Times New Roman"/>
          <w:i w:val="0"/>
          <w:sz w:val="28"/>
        </w:rPr>
        <w:t>среднетоннажных</w:t>
      </w:r>
      <w:r>
        <w:rPr>
          <w:rFonts w:ascii="Times New Roman" w:hAnsi="Times New Roman"/>
          <w:i w:val="0"/>
          <w:sz w:val="28"/>
        </w:rPr>
        <w:t>, 6 малотоннажных судов</w:t>
      </w:r>
      <w:r>
        <w:rPr>
          <w:rFonts w:ascii="Times New Roman" w:hAnsi="Times New Roman"/>
          <w:i w:val="0"/>
          <w:sz w:val="28"/>
        </w:rPr>
        <w:t xml:space="preserve"> и 1 завода.</w:t>
      </w:r>
    </w:p>
    <w:p w14:paraId="69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Камчатский край занимает первое место в Дальневосточном федеральном округе по численности работающих в рыбохозяйственном комплексе. По данным статистики на рыбодобывающих и рыбоперерабатывающих предприятия</w:t>
      </w:r>
      <w:r>
        <w:rPr>
          <w:rStyle w:val="Style_4_ch"/>
          <w:rFonts w:ascii="Times New Roman" w:hAnsi="Times New Roman"/>
          <w:sz w:val="28"/>
        </w:rPr>
        <w:t>х Камчатки по состоянию на</w:t>
      </w:r>
      <w:r>
        <w:rPr>
          <w:rStyle w:val="Style_4_ch"/>
          <w:rFonts w:ascii="Times New Roman" w:hAnsi="Times New Roman"/>
          <w:sz w:val="28"/>
        </w:rPr>
        <w:t xml:space="preserve"> 01.01.2023</w:t>
      </w:r>
      <w:r>
        <w:rPr>
          <w:rStyle w:val="Style_4_ch"/>
          <w:rFonts w:ascii="Times New Roman" w:hAnsi="Times New Roman"/>
          <w:sz w:val="28"/>
        </w:rPr>
        <w:t xml:space="preserve"> было занято 18,9</w:t>
      </w:r>
      <w:r>
        <w:rPr>
          <w:rStyle w:val="Style_4_ch"/>
          <w:rFonts w:ascii="Times New Roman" w:hAnsi="Times New Roman"/>
          <w:sz w:val="28"/>
        </w:rPr>
        <w:t xml:space="preserve"> тыс. человек </w:t>
      </w:r>
      <w:r>
        <w:rPr>
          <w:rStyle w:val="Style_4_ch"/>
          <w:rFonts w:ascii="Times New Roman" w:hAnsi="Times New Roman"/>
          <w:sz w:val="28"/>
        </w:rPr>
        <w:t>(</w:t>
      </w:r>
      <w:r>
        <w:rPr>
          <w:rStyle w:val="Style_4_ch"/>
          <w:rFonts w:ascii="Times New Roman" w:hAnsi="Times New Roman"/>
          <w:sz w:val="28"/>
        </w:rPr>
        <w:t xml:space="preserve">среднегодовая численность работников организаций, </w:t>
      </w:r>
      <w:r>
        <w:rPr>
          <w:rStyle w:val="Style_4_ch"/>
          <w:rFonts w:ascii="Times New Roman" w:hAnsi="Times New Roman"/>
          <w:sz w:val="28"/>
        </w:rPr>
        <w:t>100,3 % к показателю на 01.01.2022</w:t>
      </w:r>
      <w:r>
        <w:rPr>
          <w:rStyle w:val="Style_4_ch"/>
          <w:rFonts w:ascii="Times New Roman" w:hAnsi="Times New Roman"/>
          <w:sz w:val="28"/>
        </w:rPr>
        <w:t>).</w:t>
      </w:r>
      <w:r>
        <w:rPr>
          <w:rStyle w:val="Style_4_ch"/>
          <w:rFonts w:ascii="Times New Roman" w:hAnsi="Times New Roman"/>
          <w:sz w:val="28"/>
        </w:rPr>
        <w:t xml:space="preserve"> При этом средне</w:t>
      </w:r>
      <w:r>
        <w:rPr>
          <w:rStyle w:val="Style_4_ch"/>
          <w:rFonts w:ascii="Times New Roman" w:hAnsi="Times New Roman"/>
          <w:sz w:val="28"/>
        </w:rPr>
        <w:t>списочная</w:t>
      </w:r>
      <w:r>
        <w:rPr>
          <w:rStyle w:val="Style_4_ch"/>
          <w:rFonts w:ascii="Times New Roman" w:hAnsi="Times New Roman"/>
          <w:sz w:val="28"/>
        </w:rPr>
        <w:t xml:space="preserve"> численность </w:t>
      </w:r>
      <w:r>
        <w:rPr>
          <w:rStyle w:val="Style_4_ch"/>
          <w:rFonts w:ascii="Times New Roman" w:hAnsi="Times New Roman"/>
          <w:sz w:val="28"/>
        </w:rPr>
        <w:t>за июль 2022 года (</w:t>
      </w:r>
      <w:r>
        <w:rPr>
          <w:rStyle w:val="Style_4_ch"/>
          <w:rFonts w:ascii="Times New Roman" w:hAnsi="Times New Roman"/>
          <w:sz w:val="28"/>
        </w:rPr>
        <w:t>в период путины</w:t>
      </w:r>
      <w:r>
        <w:rPr>
          <w:rStyle w:val="Style_4_ch"/>
          <w:rFonts w:ascii="Times New Roman" w:hAnsi="Times New Roman"/>
          <w:sz w:val="28"/>
        </w:rPr>
        <w:t>)</w:t>
      </w:r>
      <w:r>
        <w:rPr>
          <w:rStyle w:val="Style_4_ch"/>
          <w:rFonts w:ascii="Times New Roman" w:hAnsi="Times New Roman"/>
          <w:sz w:val="28"/>
        </w:rPr>
        <w:t xml:space="preserve"> </w:t>
      </w:r>
      <w:r>
        <w:rPr>
          <w:rStyle w:val="Style_4_ch"/>
          <w:rFonts w:ascii="Times New Roman" w:hAnsi="Times New Roman"/>
          <w:sz w:val="28"/>
        </w:rPr>
        <w:t>составила более 28,3 тыс.</w:t>
      </w:r>
      <w:r>
        <w:rPr>
          <w:rStyle w:val="Style_4_ch"/>
          <w:rFonts w:ascii="Times New Roman" w:hAnsi="Times New Roman"/>
          <w:sz w:val="28"/>
        </w:rPr>
        <w:t xml:space="preserve"> </w:t>
      </w:r>
      <w:r>
        <w:rPr>
          <w:rStyle w:val="Style_4_ch"/>
          <w:rFonts w:ascii="Times New Roman" w:hAnsi="Times New Roman"/>
          <w:sz w:val="28"/>
        </w:rPr>
        <w:t>человек.</w:t>
      </w:r>
    </w:p>
    <w:p w14:paraId="6A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Среднемесячная заработная плата работников, занятых в организациях, основным видом деятельности которых является «рыболовс</w:t>
      </w:r>
      <w:r>
        <w:rPr>
          <w:rStyle w:val="Style_4_ch"/>
          <w:rFonts w:ascii="Times New Roman" w:hAnsi="Times New Roman"/>
          <w:sz w:val="28"/>
        </w:rPr>
        <w:t>тво и рыбоводство» за январь-дека</w:t>
      </w:r>
      <w:r>
        <w:rPr>
          <w:rStyle w:val="Style_4_ch"/>
          <w:rFonts w:ascii="Times New Roman" w:hAnsi="Times New Roman"/>
          <w:sz w:val="28"/>
        </w:rPr>
        <w:t>брь 2022 г</w:t>
      </w:r>
      <w:r>
        <w:rPr>
          <w:rStyle w:val="Style_4_ch"/>
          <w:rFonts w:ascii="Times New Roman" w:hAnsi="Times New Roman"/>
          <w:sz w:val="28"/>
        </w:rPr>
        <w:t xml:space="preserve">ода </w:t>
      </w:r>
      <w:r>
        <w:rPr>
          <w:rStyle w:val="Style_4_ch"/>
          <w:rFonts w:ascii="Times New Roman" w:hAnsi="Times New Roman"/>
          <w:sz w:val="28"/>
        </w:rPr>
        <w:t>составила 158 тыс. руб. (131,6</w:t>
      </w:r>
      <w:r>
        <w:rPr>
          <w:rStyle w:val="Style_4_ch"/>
          <w:rFonts w:ascii="Times New Roman" w:hAnsi="Times New Roman"/>
          <w:sz w:val="28"/>
        </w:rPr>
        <w:t xml:space="preserve"> % к уровню аналогичного периода 2021 года), по виду деятельности «переработка и консервирование рыбы, ракообразных и моллюсков» – 1</w:t>
      </w:r>
      <w:r>
        <w:rPr>
          <w:rStyle w:val="Style_4_ch"/>
          <w:rFonts w:ascii="Times New Roman" w:hAnsi="Times New Roman"/>
          <w:sz w:val="28"/>
        </w:rPr>
        <w:t>60,2 тыс. руб. (96,9</w:t>
      </w:r>
      <w:r>
        <w:rPr>
          <w:rStyle w:val="Style_4_ch"/>
          <w:rFonts w:ascii="Times New Roman" w:hAnsi="Times New Roman"/>
          <w:sz w:val="28"/>
        </w:rPr>
        <w:t xml:space="preserve"> % соо</w:t>
      </w:r>
      <w:r>
        <w:rPr>
          <w:rStyle w:val="Style_4_ch"/>
          <w:rFonts w:ascii="Times New Roman" w:hAnsi="Times New Roman"/>
          <w:sz w:val="28"/>
        </w:rPr>
        <w:t>тветственно).</w:t>
      </w:r>
    </w:p>
    <w:p w14:paraId="6B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Сальдированный финансовый результат предприятий рыбной отрасли (без субъектов малого предпринимательства) за</w:t>
      </w:r>
      <w:r>
        <w:rPr>
          <w:rStyle w:val="Style_4_ch"/>
          <w:rFonts w:ascii="Times New Roman" w:hAnsi="Times New Roman"/>
          <w:sz w:val="28"/>
        </w:rPr>
        <w:t xml:space="preserve"> 2022 год составил 28 млрд руб. (48</w:t>
      </w:r>
      <w:r>
        <w:rPr>
          <w:rStyle w:val="Style_4_ch"/>
          <w:rFonts w:ascii="Times New Roman" w:hAnsi="Times New Roman"/>
          <w:sz w:val="28"/>
        </w:rPr>
        <w:t xml:space="preserve"> % к ур</w:t>
      </w:r>
      <w:r>
        <w:rPr>
          <w:rStyle w:val="Style_4_ch"/>
          <w:rFonts w:ascii="Times New Roman" w:hAnsi="Times New Roman"/>
          <w:sz w:val="28"/>
        </w:rPr>
        <w:t>овню аналогичного периода 2021 года).</w:t>
      </w:r>
    </w:p>
    <w:p w14:paraId="6C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 xml:space="preserve">Средние потребительские цены на </w:t>
      </w:r>
      <w:r>
        <w:rPr>
          <w:rStyle w:val="Style_4_ch"/>
          <w:rFonts w:ascii="Times New Roman" w:hAnsi="Times New Roman"/>
          <w:sz w:val="28"/>
        </w:rPr>
        <w:t>продукцию из водных биологических ресурсо</w:t>
      </w:r>
      <w:r>
        <w:rPr>
          <w:rStyle w:val="Style_4_ch"/>
          <w:rFonts w:ascii="Times New Roman" w:hAnsi="Times New Roman"/>
          <w:sz w:val="28"/>
        </w:rPr>
        <w:t xml:space="preserve">в на конец декабря 2022 года определены </w:t>
      </w:r>
      <w:r>
        <w:rPr>
          <w:rStyle w:val="Style_4_ch"/>
          <w:rFonts w:ascii="Times New Roman" w:hAnsi="Times New Roman"/>
          <w:sz w:val="28"/>
        </w:rPr>
        <w:t>Камчатстатом</w:t>
      </w:r>
      <w:r>
        <w:rPr>
          <w:rStyle w:val="Style_4_ch"/>
          <w:rFonts w:ascii="Times New Roman" w:hAnsi="Times New Roman"/>
          <w:sz w:val="28"/>
        </w:rPr>
        <w:t xml:space="preserve"> в следующем размере: рыба живая и охлажденная – </w:t>
      </w:r>
      <w:r>
        <w:rPr>
          <w:rStyle w:val="Style_4_ch"/>
          <w:rFonts w:ascii="Times New Roman" w:hAnsi="Times New Roman"/>
          <w:sz w:val="28"/>
        </w:rPr>
        <w:t>112 руб. за кг</w:t>
      </w:r>
      <w:r>
        <w:rPr>
          <w:rStyle w:val="Style_4_ch"/>
          <w:rFonts w:ascii="Times New Roman" w:hAnsi="Times New Roman"/>
          <w:sz w:val="28"/>
        </w:rPr>
        <w:t>;</w:t>
      </w:r>
      <w:r>
        <w:rPr>
          <w:rStyle w:val="Style_4_ch"/>
          <w:rFonts w:ascii="Times New Roman" w:hAnsi="Times New Roman"/>
          <w:sz w:val="28"/>
        </w:rPr>
        <w:t xml:space="preserve"> рыба соленая, маринованная, копченая – 941 руб. за кг</w:t>
      </w:r>
      <w:r>
        <w:rPr>
          <w:rStyle w:val="Style_4_ch"/>
          <w:rFonts w:ascii="Times New Roman" w:hAnsi="Times New Roman"/>
          <w:sz w:val="28"/>
        </w:rPr>
        <w:t>;</w:t>
      </w:r>
      <w:r>
        <w:rPr>
          <w:rStyle w:val="Style_4_ch"/>
          <w:rFonts w:ascii="Times New Roman" w:hAnsi="Times New Roman"/>
          <w:sz w:val="28"/>
        </w:rPr>
        <w:t xml:space="preserve"> </w:t>
      </w:r>
      <w:r>
        <w:rPr>
          <w:rStyle w:val="Style_4_ch"/>
          <w:rFonts w:ascii="Times New Roman" w:hAnsi="Times New Roman"/>
          <w:sz w:val="28"/>
        </w:rPr>
        <w:t>соленые и копченые деликатесные продукты из рыбы – 1245 руб. за кг</w:t>
      </w:r>
      <w:r>
        <w:rPr>
          <w:rStyle w:val="Style_4_ch"/>
          <w:rFonts w:ascii="Times New Roman" w:hAnsi="Times New Roman"/>
          <w:sz w:val="28"/>
        </w:rPr>
        <w:t>;</w:t>
      </w:r>
      <w:r>
        <w:rPr>
          <w:rStyle w:val="Style_4_ch"/>
          <w:rFonts w:ascii="Times New Roman" w:hAnsi="Times New Roman"/>
          <w:sz w:val="28"/>
        </w:rPr>
        <w:t xml:space="preserve"> </w:t>
      </w:r>
      <w:r>
        <w:rPr>
          <w:rStyle w:val="Style_4_ch"/>
          <w:rFonts w:ascii="Times New Roman" w:hAnsi="Times New Roman"/>
          <w:sz w:val="28"/>
        </w:rPr>
        <w:t>икра лосевых рыб – 5154 руб. за кг</w:t>
      </w:r>
      <w:r>
        <w:rPr>
          <w:rStyle w:val="Style_4_ch"/>
          <w:rFonts w:ascii="Times New Roman" w:hAnsi="Times New Roman"/>
          <w:sz w:val="28"/>
        </w:rPr>
        <w:t>;</w:t>
      </w:r>
      <w:r>
        <w:rPr>
          <w:rStyle w:val="Style_4_ch"/>
          <w:rFonts w:ascii="Times New Roman" w:hAnsi="Times New Roman"/>
          <w:sz w:val="28"/>
        </w:rPr>
        <w:t xml:space="preserve"> рыба морожена неразделанная – 282 руб. за кг</w:t>
      </w:r>
      <w:r>
        <w:rPr>
          <w:rStyle w:val="Style_4_ch"/>
          <w:rFonts w:ascii="Times New Roman" w:hAnsi="Times New Roman"/>
          <w:sz w:val="28"/>
        </w:rPr>
        <w:t>;</w:t>
      </w:r>
      <w:r>
        <w:rPr>
          <w:rStyle w:val="Style_4_ch"/>
          <w:rFonts w:ascii="Times New Roman" w:hAnsi="Times New Roman"/>
          <w:sz w:val="28"/>
        </w:rPr>
        <w:t xml:space="preserve"> филе рыбное – 331 руб. за кг</w:t>
      </w:r>
      <w:r>
        <w:rPr>
          <w:rStyle w:val="Style_4_ch"/>
          <w:rFonts w:ascii="Times New Roman" w:hAnsi="Times New Roman"/>
          <w:sz w:val="28"/>
        </w:rPr>
        <w:t>;</w:t>
      </w:r>
      <w:r>
        <w:rPr>
          <w:rStyle w:val="Style_4_ch"/>
          <w:rFonts w:ascii="Times New Roman" w:hAnsi="Times New Roman"/>
          <w:sz w:val="28"/>
        </w:rPr>
        <w:t xml:space="preserve"> консервы рыбные натуральные с добавлением масла – 424 руб. за условную банку 350 г.</w:t>
      </w:r>
      <w:r>
        <w:rPr>
          <w:rStyle w:val="Style_4_ch"/>
          <w:rFonts w:ascii="Times New Roman" w:hAnsi="Times New Roman"/>
          <w:sz w:val="28"/>
        </w:rPr>
        <w:t>;</w:t>
      </w:r>
      <w:r>
        <w:rPr>
          <w:rStyle w:val="Style_4_ch"/>
          <w:rFonts w:ascii="Times New Roman" w:hAnsi="Times New Roman"/>
          <w:sz w:val="28"/>
        </w:rPr>
        <w:t xml:space="preserve"> консервы рыбные в томатном соусе – 363 руб. </w:t>
      </w:r>
      <w:r>
        <w:rPr>
          <w:rStyle w:val="Style_4_ch"/>
          <w:rFonts w:ascii="Times New Roman" w:hAnsi="Times New Roman"/>
          <w:sz w:val="28"/>
        </w:rPr>
        <w:t>за условную банку 350 г.</w:t>
      </w:r>
    </w:p>
    <w:p w14:paraId="6D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 xml:space="preserve">Вклад рыбохозяйственных организаций в развитие Камчатского края (отдача от рыбной отрасли) характеризуется не только величиной налоговых поступлений в консолидированный бюджет Камчатского края, объемом собственных и привлеченных инвестиций в строительство и модернизацию основных </w:t>
      </w:r>
      <w:r>
        <w:rPr>
          <w:rStyle w:val="Style_4_ch"/>
          <w:rFonts w:ascii="Times New Roman" w:hAnsi="Times New Roman"/>
          <w:sz w:val="28"/>
        </w:rPr>
        <w:t>производственных фондов и количеством введенных в эксплуатацию судов рыбопромыслового флота, рыбоперерабатывающих, холодильных и складских объектов, но и такими показателями как уровень среднедушевого потребления рыбы и рыбопродуктов жителями региона, количество созданных рабочих мест в отрасли, в том числе за счет местного населения, размер заработной платы работников предприятий, объем социальных инвестиций.</w:t>
      </w:r>
    </w:p>
    <w:p w14:paraId="6E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Рыбохозяйственные организации Камчатского края принимают активное участие в решении социальных задач региона, прежде всего:</w:t>
      </w:r>
    </w:p>
    <w:p w14:paraId="6F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– обеспечения населения региона качественной продукцией из водных биологических ресурсов по доступным для потребителя ценам (задача продовольственной безопасности);</w:t>
      </w:r>
    </w:p>
    <w:p w14:paraId="70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– содействие в закреплении населения на удаленных прибрежных территориях (задача национальной безопасности).</w:t>
      </w:r>
    </w:p>
    <w:p w14:paraId="71000000">
      <w:pPr>
        <w:pStyle w:val="Style_5"/>
        <w:spacing w:after="0" w:before="0" w:line="240" w:lineRule="auto"/>
        <w:ind w:firstLine="709" w:left="0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 xml:space="preserve">Предприятия, осуществляющие свою деятельность в сфере добычи и переработки водных биологических ресурсов, по собственной инициативе берут на себя дополнительные социальные обязательства, которые выходят за рамки установленных законодательством требований, несут на себе большую социальную нагрузку, принимая участие в реализации общественно полезных (социальных, благотворительных, культурных, спортивных, образовательных) проектов, направленных на социально-экономическое развитие территорий Камчатского края, посредством выделения на безвозмездной основе рыбной продукции или ее реализации по льготным ценам, а также перечисления благотворительных пожертвований. </w:t>
      </w:r>
    </w:p>
    <w:p w14:paraId="72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 xml:space="preserve">В целях консолидации действий в сфере социального инвестирования совместными силами Правительства Камчатского края и рыбного бизнеса в Камчатском крае в 2022 году создан Фонд «Будущее Камчатки», основными партнерами которого являются 14 отраслевых предприятий Камчатки: ООО «Устькамчатрыба», </w:t>
      </w:r>
      <w:r>
        <w:rPr>
          <w:rStyle w:val="Style_4_ch"/>
          <w:rFonts w:ascii="Times New Roman" w:hAnsi="Times New Roman"/>
          <w:sz w:val="28"/>
        </w:rPr>
        <w:t>ООО «Дельта Фиш ЛТД», ООО «Восток-рыба», ООО «</w:t>
      </w:r>
      <w:r>
        <w:rPr>
          <w:rStyle w:val="Style_4_ch"/>
          <w:rFonts w:ascii="Times New Roman" w:hAnsi="Times New Roman"/>
          <w:sz w:val="28"/>
        </w:rPr>
        <w:t>Ничира</w:t>
      </w:r>
      <w:r>
        <w:rPr>
          <w:rStyle w:val="Style_4_ch"/>
          <w:rFonts w:ascii="Times New Roman" w:hAnsi="Times New Roman"/>
          <w:sz w:val="28"/>
        </w:rPr>
        <w:t>», АО «Энергия», ООО «Камбер», ООО «Пымта», ООО «Заря», ООО «Тымлатский рыбокомбинат», РК им. В.И. Ленина, АО «Океанрыбфлот», ОАО «Феникс», ООО «Кристалл», ООО «Кристалл лосось». Фонд осуществляет</w:t>
      </w:r>
      <w:r>
        <w:rPr>
          <w:rStyle w:val="Style_4_ch"/>
          <w:rFonts w:ascii="Times New Roman" w:hAnsi="Times New Roman"/>
          <w:sz w:val="28"/>
        </w:rPr>
        <w:t xml:space="preserve"> </w:t>
      </w:r>
      <w:r>
        <w:rPr>
          <w:rStyle w:val="Style_4_ch"/>
          <w:rFonts w:ascii="Times New Roman" w:hAnsi="Times New Roman"/>
          <w:sz w:val="28"/>
        </w:rPr>
        <w:t xml:space="preserve">финансирование мероприятий, направленных на реализацию стратегии социально-экономического развития Камчатского края. </w:t>
      </w:r>
    </w:p>
    <w:p w14:paraId="73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>К крупным проектам, реализованным на территории Камчатского края при поддержке организаций рыбной отрасли в течение 2021-2022 годов, можно отнести следующие инициативы.</w:t>
      </w:r>
    </w:p>
    <w:p w14:paraId="7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 xml:space="preserve">1. В феврале 2021 года в г. Петропавловске-Камчатском открылся ледовый дворец, ставший первой крытой ареной на Камчатке. Строительство «Вулкана» начато в мае 2020 года в рамках концессионного соглашения между Камчатским краем и ООО «Т.К. Логистик». Объем средств, вложенных инвестором (ООО </w:t>
      </w:r>
      <w:r>
        <w:rPr>
          <w:rStyle w:val="Style_4_ch"/>
          <w:rFonts w:ascii="Times New Roman" w:hAnsi="Times New Roman"/>
          <w:sz w:val="28"/>
        </w:rPr>
        <w:t>«Тымлатский рыбокомбинат»</w:t>
      </w:r>
      <w:r>
        <w:rPr>
          <w:rStyle w:val="Style_4_ch"/>
          <w:rFonts w:ascii="Times New Roman" w:hAnsi="Times New Roman"/>
          <w:sz w:val="28"/>
        </w:rPr>
        <w:t>) в строительство спортивного сооружения, составляет более 600 млн руб.</w:t>
      </w:r>
    </w:p>
    <w:p w14:paraId="7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 xml:space="preserve">2. 01.04.2022 в г. Петропавловске-Камчатском состоялась церемония открытия музея рыбной промышленности – первого в регионе ультрасовременного интерактивного музея, посвященного истории одного из крупнейших предприятий рыбохозяйственного комплекса Камчатского края АО «Океанрыбфлот», с оригинальными артефактами, интерактивными картами и виртуальным путешествием по новейшему </w:t>
      </w:r>
      <w:r>
        <w:rPr>
          <w:rStyle w:val="Style_4_ch"/>
          <w:rFonts w:ascii="Times New Roman" w:hAnsi="Times New Roman"/>
          <w:sz w:val="28"/>
        </w:rPr>
        <w:t>супертраулеру</w:t>
      </w:r>
      <w:r>
        <w:rPr>
          <w:rStyle w:val="Style_4_ch"/>
          <w:rFonts w:ascii="Times New Roman" w:hAnsi="Times New Roman"/>
          <w:sz w:val="28"/>
        </w:rPr>
        <w:t xml:space="preserve"> «Георгий Мещеряков». </w:t>
      </w:r>
    </w:p>
    <w:p w14:paraId="76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4_ch"/>
          <w:rFonts w:ascii="Times New Roman" w:hAnsi="Times New Roman"/>
          <w:sz w:val="28"/>
        </w:rPr>
        <w:t xml:space="preserve">3. В 2022 году состоялось открытие спортивно-туристического комплекса «МОТО ПАРК КАМЧАТКА» – </w:t>
      </w:r>
      <w:r>
        <w:rPr>
          <w:rStyle w:val="Style_4_ch"/>
          <w:rFonts w:ascii="Times New Roman" w:hAnsi="Times New Roman"/>
          <w:sz w:val="28"/>
        </w:rPr>
        <w:t>первой в Камчатском крае и самой крупной в Восточной части России площадки для мотокросса, расположенной на территории 15,5 Га, включающей в себя 4 подготовленных трассы (инициатор проекта – соучредитель ООО «Рыбхолкам», объем вложенных инвестиций составил 413 млн руб.).</w:t>
      </w:r>
    </w:p>
    <w:p w14:paraId="77000000">
      <w:pPr>
        <w:pStyle w:val="Style_5"/>
        <w:spacing w:after="0" w:before="0" w:line="240" w:lineRule="auto"/>
        <w:ind w:firstLine="709" w:left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Несмотря на достигнутые в последнее десятилетие успехи рыбохозяйственная отрасль Камчатского края продолжает сталкиваться с рядом проблем.</w:t>
      </w:r>
    </w:p>
    <w:p w14:paraId="78000000">
      <w:pPr>
        <w:pStyle w:val="Style_5"/>
        <w:spacing w:after="0" w:before="0" w:line="240" w:lineRule="auto"/>
        <w:ind w:firstLine="709" w:left="0"/>
        <w:rPr>
          <w:rFonts w:ascii="Times New Roman" w:hAnsi="Times New Roman"/>
          <w:color w:val="000000"/>
          <w:sz w:val="28"/>
        </w:rPr>
      </w:pPr>
      <w:r>
        <w:rPr>
          <w:rStyle w:val="Style_4_ch"/>
          <w:rFonts w:ascii="Times New Roman" w:hAnsi="Times New Roman"/>
          <w:color w:val="000000"/>
          <w:sz w:val="28"/>
        </w:rPr>
        <w:t xml:space="preserve">Одной из основных проблем комплекса является низкая степень ее инвестиционной привлекательности, которая обусловлена высокими тарифами на электро- и теплоэнергию, дефицитом инвестиционных ресурсов, отсутствием инноваций в отрасли. Увеличению объемов производства в рыбохозяйственном комплексе препятствует низкая степень переработки водного биологического сырья. Нерациональным продолжает оставаться соотношение береговой и морской рыбопереработки. </w:t>
      </w:r>
      <w:r>
        <w:rPr>
          <w:rStyle w:val="Style_4_ch"/>
          <w:rFonts w:ascii="Times New Roman" w:hAnsi="Times New Roman"/>
          <w:color w:val="000000"/>
          <w:sz w:val="28"/>
        </w:rPr>
        <w:t>Также к основным вызовам и проблемам, стоящим перед рыбохозяйственным комплексом Камчатского края, относятся:</w:t>
      </w:r>
      <w:r>
        <w:rPr>
          <w:rStyle w:val="Style_4_ch"/>
          <w:rFonts w:ascii="Times New Roman" w:hAnsi="Times New Roman"/>
          <w:color w:val="000000"/>
          <w:sz w:val="28"/>
        </w:rPr>
        <w:t xml:space="preserve"> </w:t>
      </w:r>
    </w:p>
    <w:p w14:paraId="79000000">
      <w:pPr>
        <w:pStyle w:val="Style_5"/>
        <w:spacing w:after="0" w:before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Style w:val="Style_4_ch"/>
          <w:rFonts w:ascii="Times New Roman" w:hAnsi="Times New Roman"/>
          <w:color w:val="000000"/>
          <w:sz w:val="28"/>
        </w:rPr>
        <w:t xml:space="preserve">– </w:t>
      </w:r>
      <w:r>
        <w:rPr>
          <w:rStyle w:val="Style_4_ch"/>
          <w:rFonts w:ascii="Times New Roman" w:hAnsi="Times New Roman"/>
          <w:color w:val="000000"/>
          <w:sz w:val="28"/>
        </w:rPr>
        <w:t>низкая диверсификация рынков сбыта;</w:t>
      </w:r>
      <w:r>
        <w:rPr>
          <w:rStyle w:val="Style_4_ch"/>
          <w:rFonts w:ascii="Times New Roman" w:hAnsi="Times New Roman"/>
          <w:color w:val="000000"/>
          <w:sz w:val="28"/>
        </w:rPr>
        <w:t xml:space="preserve"> </w:t>
      </w:r>
    </w:p>
    <w:p w14:paraId="7A000000">
      <w:pPr>
        <w:pStyle w:val="Style_5"/>
        <w:spacing w:after="0" w:before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Style w:val="Style_4_ch"/>
          <w:rFonts w:ascii="Times New Roman" w:hAnsi="Times New Roman"/>
          <w:color w:val="000000"/>
          <w:sz w:val="28"/>
        </w:rPr>
        <w:t>– «сезонность» осуществления береговой переработки;</w:t>
      </w:r>
    </w:p>
    <w:p w14:paraId="7B000000">
      <w:pPr>
        <w:pStyle w:val="Style_5"/>
        <w:spacing w:after="0" w:before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Style w:val="Style_4_ch"/>
          <w:rFonts w:ascii="Times New Roman" w:hAnsi="Times New Roman"/>
          <w:color w:val="000000"/>
          <w:sz w:val="28"/>
        </w:rPr>
        <w:t>– потребность в обновлении и обслуживании флота;</w:t>
      </w:r>
    </w:p>
    <w:p w14:paraId="7C000000">
      <w:pPr>
        <w:pStyle w:val="Style_5"/>
        <w:spacing w:after="0" w:before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Style w:val="Style_4_ch"/>
          <w:rFonts w:ascii="Times New Roman" w:hAnsi="Times New Roman"/>
          <w:color w:val="000000"/>
          <w:sz w:val="28"/>
        </w:rPr>
        <w:t>– потеря ресурсов в рамках инвестквот;</w:t>
      </w:r>
    </w:p>
    <w:p w14:paraId="7D000000">
      <w:pPr>
        <w:pStyle w:val="Style_5"/>
        <w:spacing w:after="0" w:before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Style w:val="Style_4_ch"/>
          <w:rFonts w:ascii="Times New Roman" w:hAnsi="Times New Roman"/>
          <w:color w:val="000000"/>
          <w:sz w:val="28"/>
        </w:rPr>
        <w:t>– потребность в кадрах и недостаточное научное обеспечение отрасли в крае;</w:t>
      </w:r>
    </w:p>
    <w:p w14:paraId="7E000000">
      <w:pPr>
        <w:pStyle w:val="Style_5"/>
        <w:spacing w:after="0" w:before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Style w:val="Style_4_ch"/>
          <w:rFonts w:ascii="Times New Roman" w:hAnsi="Times New Roman"/>
          <w:color w:val="000000"/>
          <w:sz w:val="28"/>
        </w:rPr>
        <w:t>– потребность в импортозамещении значительной части оборудования, комплектующих и материалов;</w:t>
      </w:r>
    </w:p>
    <w:p w14:paraId="7F000000">
      <w:pPr>
        <w:pStyle w:val="Style_5"/>
        <w:spacing w:after="0" w:before="0" w:line="240" w:lineRule="auto"/>
        <w:ind/>
        <w:rPr>
          <w:rFonts w:ascii="Times New Roman" w:hAnsi="Times New Roman"/>
          <w:color w:val="000000"/>
          <w:sz w:val="28"/>
        </w:rPr>
      </w:pPr>
      <w:r>
        <w:rPr>
          <w:rStyle w:val="Style_4_ch"/>
          <w:rFonts w:ascii="Times New Roman" w:hAnsi="Times New Roman"/>
          <w:color w:val="000000"/>
          <w:sz w:val="28"/>
        </w:rPr>
        <w:t>– ННН промысел и административные барьеры.</w:t>
      </w:r>
    </w:p>
    <w:p w14:paraId="80000000">
      <w:pPr>
        <w:pStyle w:val="Style_4"/>
        <w:numPr>
          <w:numId w:val="1"/>
        </w:numPr>
        <w:spacing w:after="0" w:line="240" w:lineRule="auto"/>
        <w:ind w:firstLine="709" w:left="0"/>
        <w:jc w:val="both"/>
        <w:rPr>
          <w:rFonts w:ascii="Times New Roman" w:hAnsi="Times New Roman"/>
          <w:b w:val="1"/>
          <w:sz w:val="28"/>
        </w:rPr>
      </w:pPr>
      <w:r>
        <w:rPr>
          <w:rStyle w:val="Style_4_ch"/>
          <w:rFonts w:ascii="Times New Roman" w:hAnsi="Times New Roman"/>
          <w:b w:val="1"/>
          <w:sz w:val="28"/>
        </w:rPr>
        <w:t xml:space="preserve">Приоритеты и цели государственной </w:t>
      </w:r>
      <w:r>
        <w:rPr>
          <w:rStyle w:val="Style_4_ch"/>
          <w:rFonts w:ascii="Times New Roman" w:hAnsi="Times New Roman"/>
          <w:b w:val="1"/>
          <w:sz w:val="28"/>
        </w:rPr>
        <w:t xml:space="preserve">политики в сфере реализации </w:t>
      </w:r>
      <w:r>
        <w:rPr>
          <w:rStyle w:val="Style_4_ch"/>
          <w:rFonts w:ascii="Times New Roman" w:hAnsi="Times New Roman"/>
          <w:b w:val="1"/>
          <w:sz w:val="28"/>
        </w:rPr>
        <w:t>Программы</w:t>
      </w:r>
    </w:p>
    <w:p w14:paraId="81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1"/>
          <w:spacing w:val="0"/>
          <w:sz w:val="28"/>
          <w:shd w:fill="CDCDCD" w:val="clear"/>
        </w:rPr>
      </w:pPr>
    </w:p>
    <w:p w14:paraId="82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spacing w:val="0"/>
          <w:sz w:val="28"/>
        </w:rPr>
        <w:t xml:space="preserve">1. На федеральном уровне основные приоритеты и цели государственной политики в рыбохозяйственном комплексе сформулированы в следующих правовых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актах:</w:t>
      </w:r>
    </w:p>
    <w:p w14:paraId="83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1) Доктрина продовольственной безопасности Российской Федерации, утвержденная Указом Президента Российской Федерации о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т </w:t>
      </w:r>
      <w:r>
        <w:rPr>
          <w:rStyle w:val="Style_4_ch"/>
          <w:rFonts w:ascii="Times New Roman" w:hAnsi="Times New Roman"/>
          <w:b w:val="0"/>
          <w:i w:val="0"/>
          <w:color w:val="000000"/>
          <w:spacing w:val="0"/>
          <w:sz w:val="28"/>
        </w:rPr>
        <w:t>21.01.2020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№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20;</w:t>
      </w:r>
    </w:p>
    <w:p w14:paraId="84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2)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Морская доктрина Российской Федерации, утвержденная </w:t>
      </w:r>
      <w:r>
        <w:rPr>
          <w:rStyle w:val="Style_4_ch"/>
          <w:rFonts w:ascii="Times New Roman" w:hAnsi="Times New Roman"/>
          <w:b w:val="0"/>
          <w:i w:val="0"/>
          <w:color w:val="000000"/>
          <w:spacing w:val="0"/>
          <w:sz w:val="28"/>
        </w:rPr>
        <w:t>Указом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</w:t>
      </w:r>
      <w:r>
        <w:rPr>
          <w:rStyle w:val="Style_4_ch"/>
          <w:rFonts w:ascii="Times New Roman" w:hAnsi="Times New Roman"/>
          <w:b w:val="0"/>
          <w:i w:val="0"/>
          <w:color w:val="000000"/>
          <w:spacing w:val="0"/>
          <w:sz w:val="28"/>
        </w:rPr>
        <w:t>Президента</w:t>
      </w:r>
      <w:r>
        <w:rPr>
          <w:rFonts w:ascii="Times New Roman" w:hAnsi="Times New Roman"/>
          <w:b w:val="0"/>
          <w:i w:val="0"/>
          <w:strike w:val="0"/>
          <w:color w:val="000000"/>
          <w:spacing w:val="0"/>
          <w:sz w:val="28"/>
        </w:rPr>
        <w:t xml:space="preserve"> </w:t>
      </w:r>
      <w:r>
        <w:rPr>
          <w:rFonts w:ascii="Times New Roman" w:hAnsi="Times New Roman"/>
          <w:b w:val="0"/>
          <w:i w:val="0"/>
          <w:strike w:val="0"/>
          <w:color w:val="000000"/>
          <w:spacing w:val="0"/>
          <w:sz w:val="28"/>
        </w:rPr>
        <w:t>Российской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Федерации </w:t>
      </w:r>
      <w:r>
        <w:rPr>
          <w:rStyle w:val="Style_4_ch"/>
          <w:rFonts w:ascii="Times New Roman" w:hAnsi="Times New Roman"/>
          <w:b w:val="0"/>
          <w:i w:val="0"/>
          <w:color w:val="000000"/>
          <w:spacing w:val="0"/>
          <w:sz w:val="28"/>
        </w:rPr>
        <w:t>от 31.07.2022 № 512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;</w:t>
      </w:r>
    </w:p>
    <w:p w14:paraId="85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3)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begin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instrText>HYPERLINK "consultantplus://offline/ref=5A9E164987609B55E39F623F8C23DD5E95E6BDD2B59C2979289FBAECFE01D7A2ADCD368AB6EBF9D227F84B78249D990ACAC14BC0BB368E30YET5A"</w:instrTex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separate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Концепция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end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17.11.2008 № 1662-р;</w:t>
      </w:r>
    </w:p>
    <w:p w14:paraId="86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4) Концепция развития рыбного хозяйства Российской Федерации на период до 2020 года, одобренная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begin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instrText>HYPERLINK "consultantplus://offline/ref=5A9E164987609B55E39F623F8C23DD5E9FEFB6D5B39E747320C6B6EEF90E88A7AADC3689BEF5F9D131F11F2BY6T3A"</w:instrTex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separate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Распоряжением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end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Правительства Российской Федерации от 02.09.2003 № 1265-р;</w:t>
      </w:r>
    </w:p>
    <w:p w14:paraId="87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5)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begin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instrText>HYPERLINK "consultantplus://offline/ref=5A9E164987609B55E39F623F8C23DD5E94E7B4D3B2912979289FBAECFE01D7A2ADCD368AB6EBFFD22FF84B78249D990ACAC14BC0BB368E30YET5A"</w:instrTex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separate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Стратегия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end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развития пищевой и перерабатывающей промышленности Российской Федерации на период до 2020 года, утвержденная Распоряжением Правительства Российской Федерации от 17.04.2012 № 559-р;</w:t>
      </w:r>
    </w:p>
    <w:p w14:paraId="88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6)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begin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instrText>HYPERLINK "consultantplus://offline/ref=5A9E164987609B55E39F623F8C23DD5E9FE0B0D5B29E747320C6B6EEF90E88B5AA843A8BB6EBF8D224A74E6D35C59600DCDF48DDA7348CY3T1A"</w:instrTex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separate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Стратегия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end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социально-экономического развития Дальнего Востока и Байкальского региона на период до 2025 года, утвержденная Распоряжением Правительства Российской Федерации от 28.12.2009 № 2094-р;</w:t>
      </w:r>
    </w:p>
    <w:p w14:paraId="89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7)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begin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instrText>HYPERLINK "consultantplus://offline/ref=5A9E164987609B55E39F623F8C23DD5E95E5B7D7B6922979289FBAECFE01D7A2ADCD368AB6EBF9D227F84B78249D990ACAC14BC0BB368E30YET5A"</w:instrTex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separate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Стратегия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end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развития морской деятельности Российской Федерации до 2030 года, утвержденная Распоряжением Правительства Российской Федерации от 30.08.2019 № 1930-р;</w:t>
      </w:r>
    </w:p>
    <w:p w14:paraId="8A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8)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begin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instrText>HYPERLINK "consultantplus://offline/ref=5A9E164987609B55E39F623F8C23DD5E95E6BCD6B0972979289FBAECFE01D7A2ADCD368AB6EBF9D226F84B78249D990ACAC14BC0BB368E30YET5A"</w:instrTex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separate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Стратегия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end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инновационного развития Российской Федерации на период до 2020 года, утвержденная Распоряжением Правительства Российской Федерации от 08.12.2011 № 2227-р;</w:t>
      </w:r>
    </w:p>
    <w:p w14:paraId="8B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9)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begin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instrText>HYPERLINK "consultantplus://offline/ref=5A9E164987609B55E39F623F8C23DD5E95E6BCD6B0962979289FBAECFE01D7A2ADCD368AB6EBF9D226F84B78249D990ACAC14BC0BB368E30YET5A"</w:instrTex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separate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Стратегия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end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развития отрасли информационных технологий в Российской Федерации на 2014 - 2020 годы и на перспективу до 2025 года, утвержденная Распоряжением Правительства Российской Федерации от 01.11.2013 № 2036-р;</w:t>
      </w:r>
    </w:p>
    <w:p w14:paraId="8C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10)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begin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instrText>HYPERLINK "consultantplus://offline/ref=5A9E164987609B55E39F623F8C23DD5E94E7B3D1B5962979289FBAECFE01D7A2ADCD368AB6EBF9D327F84B78249D990ACAC14BC0BB368E30YET5A"</w:instrTex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separate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Стратегия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end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развития информационного общества в Российской Федерации на 2017 - 2030 годы, утвержденная Указом Президента Российской Федерации от 09.05.2017 № 203;</w:t>
      </w:r>
    </w:p>
    <w:p w14:paraId="8D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11)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begin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instrText>HYPERLINK "consultantplus://offline/ref=5A9E164987609B55E39F623F8C23DD5E94E7B3D3BB952979289FBAECFE01D7A2ADCD368AB6EBF9D227F84B78249D990ACAC14BC0BB368E30YET5A"</w:instrTex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separate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Стратегия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end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развития морских терминалов для комплексного обслуживания судов рыбопромыслового флота с учетом береговой логистической инфраструктуры, предназначенной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для транспортировки, хранения и дистрибуции рыбной продукции, утвержденная Приказом Министерства сельского хозяйства Российской Федерации от 20.04.2017 № 189;</w:t>
      </w:r>
    </w:p>
    <w:p w14:paraId="8E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12)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begin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instrText>HYPERLINK "consultantplus://offline/ref=5A9E164987609B55E39F623F8C23DD5E92E7B3D5BA9C2979289FBAECFE01D7A2ADCD368AB6EBF9D32EF84B78249D990ACAC14BC0BB368E30YET5A"</w:instrTex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separate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Стратегия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end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развити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я </w:t>
      </w:r>
      <w:r>
        <w:rPr>
          <w:rStyle w:val="Style_4_ch"/>
          <w:rFonts w:ascii="Times New Roman" w:hAnsi="Times New Roman"/>
          <w:b w:val="0"/>
          <w:i w:val="0"/>
          <w:color w:val="000000"/>
          <w:spacing w:val="0"/>
          <w:sz w:val="28"/>
        </w:rPr>
        <w:t>агропромышленного и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рыбохозяйственного комплекса Российской Федерации на период до 2030 года, утвержденная Распоряжением Правительства Российской Федерации от </w:t>
      </w:r>
      <w:r>
        <w:rPr>
          <w:rStyle w:val="Style_4_ch"/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08.09.2022 № 2567-р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;</w:t>
      </w:r>
    </w:p>
    <w:p w14:paraId="8F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13) Стратегия развития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аквакультуры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в Российской Федерации на период до 2020 года, утвержденная Министерством сельского хозяйства Российской Федерации 10.09.2007 года;</w:t>
      </w:r>
    </w:p>
    <w:p w14:paraId="90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14) Государственная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begin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instrText>HYPERLINK "consultantplus://offline/ref=5A9E164987609B55E39F623F8C23DD5E92E4B5D3B6922979289FBAECFE01D7A2ADCD368FB7ECF1D724A74E6D35C59600DCDF48DDA7348CY3T1A"</w:instrTex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separate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программа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end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Российской Федерации «Развитие рыбохозяйств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енного комплекса», утвержденная Постановлением Правительства Российской Федерации от 15.04.2014 № 314 «Об утверждении государственной программы Российской Федерации «Развитие рыбохозяйственного комплекса»;</w:t>
      </w:r>
    </w:p>
    <w:p w14:paraId="91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15) Отраслевая программа «Развитие товарной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аквакультуры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(товарного рыбоводства) в Российской Федерации на 2015 - 2020 годы», утвержденная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begin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instrText>HYPERLINK "consultantplus://offline/ref=5A9E164987609B55E39F623F8C23DD5E92E6B6D1B6932979289FBAECFE01D7A2BFCD6E86B4E3E7D22CED1D2962YCTBA"</w:instrTex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separate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Приказом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end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Министерства сельского хозяйства Российской Федерации 16.01.2015 № 10;</w:t>
      </w:r>
    </w:p>
    <w:p w14:paraId="92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16) Национальная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begin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instrText>HYPERLINK "consultantplus://offline/ref=5A9E164987609B55E39F623F8C23DD5E92E5BDD0B7962979289FBAECFE01D7A2ADCD368AB6EBF9D228F84B78249D990ACAC14BC0BB368E30YET5A"</w:instrTex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separate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программа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end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социально-экономического развития Дальнего Востока на период до 2024 года и на перспективу до 2035 года, утвержденная Распоря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жением Правительства Российской Федерации от 24.09.2020 № 2464-р.</w:t>
      </w:r>
    </w:p>
    <w:p w14:paraId="93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2. В Камчатском крае в развитие федеральных правовых актов Российской Федерации приняты:</w:t>
      </w:r>
    </w:p>
    <w:p w14:paraId="94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1)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begin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instrText>HYPERLINK "consultantplus://offline/ref=5A9E164987609B55E39F7C329A4F815A90EDEBDFB29C262D76C9BCBBA151D1F7ED8D30DFF5AFF4D32FF71C2F60C3C059868A46C1AD2A8E31F8CDDD25Y4TBA"</w:instrTex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separate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Стратегия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fldChar w:fldCharType="end"/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социально-экономического развития Камчатского края до 2030 года, утвержденная Постановлением Правительства Камчатского края от 27.07.2010 № 332-П;</w:t>
      </w:r>
    </w:p>
    <w:p w14:paraId="95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2) Инвестиционная стратегия Камчатского края до 2020 года, утвержденная Распоряжением Правительства Камчатского края от 07.10.2013 № 473-РП;</w:t>
      </w:r>
    </w:p>
    <w:p w14:paraId="96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3) Стратегия развития рыбохозяйственного кластера Камчатского края до 2030 года, утвержденная Распоряжением Правительства Камчатского края от 15.12.2017 № 516-РП.</w:t>
      </w:r>
    </w:p>
    <w:p w14:paraId="97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3. В соответствии с указанными документами основными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приоритетными направлениями государственной политики в сфере развития рыбохозяйственного комплекса определены:</w:t>
      </w:r>
    </w:p>
    <w:p w14:paraId="98000000">
      <w:pPr>
        <w:spacing w:after="0" w:before="0" w:line="240" w:lineRule="auto"/>
        <w:ind w:firstLine="709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– </w:t>
      </w:r>
      <w:r>
        <w:rPr>
          <w:rFonts w:ascii="Times New Roman" w:hAnsi="Times New Roman"/>
          <w:b w:val="0"/>
          <w:i w:val="0"/>
          <w:color w:val="000000"/>
          <w:sz w:val="28"/>
        </w:rPr>
        <w:t>развитие экспорта продукции из водных биологических ресурсов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;</w:t>
      </w:r>
    </w:p>
    <w:p w14:paraId="99000000">
      <w:pPr>
        <w:spacing w:after="0" w:before="0" w:line="240" w:lineRule="auto"/>
        <w:ind w:firstLine="709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– 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р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азвитие </w:t>
      </w:r>
      <w:r>
        <w:rPr>
          <w:rFonts w:ascii="Times New Roman" w:hAnsi="Times New Roman"/>
          <w:b w:val="0"/>
          <w:i w:val="0"/>
          <w:color w:val="000000"/>
          <w:sz w:val="28"/>
        </w:rPr>
        <w:t>рыбоперерабатывающего компле</w:t>
      </w:r>
      <w:r>
        <w:rPr>
          <w:rFonts w:ascii="Times New Roman" w:hAnsi="Times New Roman"/>
          <w:b w:val="0"/>
          <w:i w:val="0"/>
          <w:color w:val="000000"/>
          <w:sz w:val="28"/>
        </w:rPr>
        <w:t>кса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.</w:t>
      </w:r>
    </w:p>
    <w:p w14:paraId="9A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4. Приоритеты и цели государственной политики в рыбохозяй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ственном комплексе на федеральном и региональном уровнях направлены на обеспечение населения страны безопасной рыбной и иной продукцией из водных биологических ресурсов, насыщение внутреннего рынка отечественной рыбной продукцией, ока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зание российским организациям всесторонней помощи в продвижении на внешние рынки пищевой и иной продукции из водных биологических ресурсов, внедрению инновационных технологий переработки рыбной продукции, в том числе комплексной переработки рыбных отходов.</w:t>
      </w:r>
    </w:p>
    <w:p w14:paraId="9B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Гарантией их достижения явл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яется стабильность внутреннего производства рыбной продукции, а также наличие необходимых резервов и запасов. Особое значение в данном направлении отводится стимулированию более эффективного использования потенциала водных биологических ресурсов,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 xml:space="preserve"> созданию условий для обновления и модернизации основных производственных фондов рыбохозяйственного комплекса.</w:t>
      </w:r>
    </w:p>
    <w:p w14:paraId="9C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5. Исходя из указанных приоритетов государственной полити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ки сформулированы цели Программы:</w:t>
      </w:r>
    </w:p>
    <w:p w14:paraId="9D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>– создание условий для развития экспорта продукции из водных биологических ресурсов и обеспечение экспорта данной продукции в объеме 0,9436 млрд долларов в 2024 году;</w:t>
      </w:r>
    </w:p>
    <w:p w14:paraId="9E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pacing w:val="0"/>
          <w:sz w:val="28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– </w:t>
      </w:r>
      <w:r>
        <w:rPr>
          <w:rFonts w:ascii="Times New Roman" w:hAnsi="Times New Roman"/>
          <w:b w:val="0"/>
          <w:i w:val="0"/>
          <w:color w:val="000000"/>
          <w:sz w:val="28"/>
        </w:rPr>
        <w:t>создание условий для формирования мощного рыбохозяйственного компле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кса Камчатского края, </w:t>
      </w:r>
      <w:r>
        <w:rPr>
          <w:rFonts w:ascii="Times New Roman" w:hAnsi="Times New Roman"/>
          <w:b w:val="0"/>
          <w:i w:val="0"/>
          <w:color w:val="000000"/>
          <w:sz w:val="28"/>
        </w:rPr>
        <w:t>обеспечивающего объем вылова водных биологических ресурсов в размере 1450 тыс. тонн в 2030 году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: </w:t>
      </w:r>
      <w:r>
        <w:rPr>
          <w:rFonts w:ascii="Times New Roman" w:hAnsi="Times New Roman"/>
          <w:b w:val="0"/>
          <w:i w:val="0"/>
          <w:color w:val="000000"/>
          <w:sz w:val="28"/>
        </w:rPr>
        <w:t>обновления рыбопромыслового флота,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развития береговой инфраструктуры глубокой переработки водных биоресурсов, насыщен</w:t>
      </w:r>
      <w:r>
        <w:rPr>
          <w:rFonts w:ascii="Times New Roman" w:hAnsi="Times New Roman"/>
          <w:b w:val="0"/>
          <w:i w:val="0"/>
          <w:color w:val="000000"/>
          <w:sz w:val="28"/>
        </w:rPr>
        <w:t>ия внутреннего рынка Российской Федерации качественной рыбной продукцией отечественного производства, увеличения вклада рыбохозяйственного комплекса Камчатского края в социальное развитие региона</w:t>
      </w:r>
      <w:r>
        <w:rPr>
          <w:rFonts w:ascii="Times New Roman" w:hAnsi="Times New Roman"/>
          <w:b w:val="0"/>
          <w:i w:val="0"/>
          <w:color w:val="000000"/>
          <w:spacing w:val="0"/>
          <w:sz w:val="28"/>
        </w:rPr>
        <w:t>.</w:t>
      </w:r>
    </w:p>
    <w:p w14:paraId="9F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z w:val="28"/>
        </w:rPr>
      </w:pPr>
    </w:p>
    <w:p w14:paraId="A0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b w:val="0"/>
          <w:i w:val="0"/>
          <w:color w:val="000000"/>
          <w:sz w:val="28"/>
        </w:rPr>
      </w:pPr>
    </w:p>
    <w:sectPr>
      <w:headerReference r:id="rId1" w:type="default"/>
      <w:pgSz w:h="16838" w:orient="portrait" w:w="11906"/>
      <w:pgMar w:bottom="1134" w:footer="709" w:gutter="0" w:header="709" w:left="1418" w:right="851" w:top="1134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>PAGE \* Arabic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fldChar w:fldCharType="end"/>
    </w:r>
  </w:p>
  <w:p w14:paraId="01000000">
    <w:pPr>
      <w:pStyle w:val="Style_1"/>
      <w:ind/>
      <w:jc w:val="center"/>
      <w:rPr>
        <w:rFonts w:ascii="Times New Roman" w:hAnsi="Times New Roman"/>
        <w:sz w:val="28"/>
      </w:rPr>
    </w:pPr>
  </w:p>
  <w:p w14:paraId="02000000"/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6" w:type="paragraph">
    <w:name w:val="Гиперссылка2"/>
    <w:link w:val="Style_6_ch"/>
    <w:rPr>
      <w:color w:val="0000FF"/>
      <w:u w:val="single"/>
    </w:rPr>
  </w:style>
  <w:style w:styleId="Style_6_ch" w:type="character">
    <w:name w:val="Гиперссылка2"/>
    <w:link w:val="Style_6"/>
    <w:rPr>
      <w:color w:val="0000FF"/>
      <w:u w:val="single"/>
    </w:rPr>
  </w:style>
  <w:style w:styleId="Style_7" w:type="paragraph">
    <w:name w:val="toc 2"/>
    <w:next w:val="Style_4"/>
    <w:link w:val="Style_7_ch"/>
    <w:uiPriority w:val="39"/>
    <w:pPr>
      <w:ind w:firstLine="0" w:left="200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Знак сноски1"/>
    <w:basedOn w:val="Style_9"/>
    <w:link w:val="Style_8_ch"/>
    <w:rPr>
      <w:vertAlign w:val="superscript"/>
    </w:rPr>
  </w:style>
  <w:style w:styleId="Style_8_ch" w:type="character">
    <w:name w:val="Знак сноски1"/>
    <w:basedOn w:val="Style_9_ch"/>
    <w:link w:val="Style_8"/>
    <w:rPr>
      <w:vertAlign w:val="superscript"/>
    </w:rPr>
  </w:style>
  <w:style w:styleId="Style_10" w:type="paragraph">
    <w:name w:val="Знак сноски1"/>
    <w:basedOn w:val="Style_11"/>
    <w:link w:val="Style_10_ch"/>
    <w:rPr>
      <w:vertAlign w:val="superscript"/>
    </w:rPr>
  </w:style>
  <w:style w:styleId="Style_10_ch" w:type="character">
    <w:name w:val="Знак сноски1"/>
    <w:basedOn w:val="Style_11_ch"/>
    <w:link w:val="Style_10"/>
    <w:rPr>
      <w:vertAlign w:val="superscript"/>
    </w:rPr>
  </w:style>
  <w:style w:styleId="Style_12" w:type="paragraph">
    <w:name w:val="toc 4"/>
    <w:next w:val="Style_4"/>
    <w:link w:val="Style_12_ch"/>
    <w:uiPriority w:val="39"/>
    <w:pPr>
      <w:ind w:firstLine="0" w:left="600"/>
    </w:pPr>
    <w:rPr>
      <w:rFonts w:ascii="XO Thames" w:hAnsi="XO Thames"/>
      <w:sz w:val="28"/>
    </w:rPr>
  </w:style>
  <w:style w:styleId="Style_12_ch" w:type="character">
    <w:name w:val="toc 4"/>
    <w:link w:val="Style_12"/>
    <w:rPr>
      <w:rFonts w:ascii="XO Thames" w:hAnsi="XO Thames"/>
      <w:sz w:val="28"/>
    </w:rPr>
  </w:style>
  <w:style w:styleId="Style_13" w:type="paragraph">
    <w:name w:val="Heading 1 Char"/>
    <w:basedOn w:val="Style_11"/>
    <w:link w:val="Style_13_ch"/>
    <w:rPr>
      <w:rFonts w:ascii="Arial" w:hAnsi="Arial"/>
      <w:sz w:val="40"/>
    </w:rPr>
  </w:style>
  <w:style w:styleId="Style_13_ch" w:type="character">
    <w:name w:val="Heading 1 Char"/>
    <w:basedOn w:val="Style_11_ch"/>
    <w:link w:val="Style_13"/>
    <w:rPr>
      <w:rFonts w:ascii="Arial" w:hAnsi="Arial"/>
      <w:sz w:val="40"/>
    </w:rPr>
  </w:style>
  <w:style w:styleId="Style_14" w:type="paragraph">
    <w:name w:val="heading 7"/>
    <w:basedOn w:val="Style_4"/>
    <w:next w:val="Style_4"/>
    <w:link w:val="Style_14_ch"/>
    <w:uiPriority w:val="9"/>
    <w:qFormat/>
    <w:pPr>
      <w:keepNext w:val="1"/>
      <w:keepLines w:val="1"/>
      <w:spacing w:after="200" w:before="320"/>
      <w:ind/>
      <w:outlineLvl w:val="6"/>
    </w:pPr>
    <w:rPr>
      <w:rFonts w:ascii="Arial" w:hAnsi="Arial"/>
      <w:b w:val="1"/>
      <w:i w:val="1"/>
    </w:rPr>
  </w:style>
  <w:style w:styleId="Style_14_ch" w:type="character">
    <w:name w:val="heading 7"/>
    <w:basedOn w:val="Style_4_ch"/>
    <w:link w:val="Style_14"/>
    <w:rPr>
      <w:rFonts w:ascii="Arial" w:hAnsi="Arial"/>
      <w:b w:val="1"/>
      <w:i w:val="1"/>
    </w:rPr>
  </w:style>
  <w:style w:styleId="Style_15" w:type="paragraph">
    <w:name w:val="Intense Quote"/>
    <w:basedOn w:val="Style_4"/>
    <w:next w:val="Style_4"/>
    <w:link w:val="Style_15_ch"/>
    <w:pPr>
      <w:ind w:firstLine="0" w:left="720" w:right="720"/>
    </w:pPr>
    <w:rPr>
      <w:i w:val="1"/>
    </w:rPr>
  </w:style>
  <w:style w:styleId="Style_15_ch" w:type="character">
    <w:name w:val="Intense Quote"/>
    <w:basedOn w:val="Style_4_ch"/>
    <w:link w:val="Style_15"/>
    <w:rPr>
      <w:i w:val="1"/>
    </w:rPr>
  </w:style>
  <w:style w:styleId="Style_16" w:type="paragraph">
    <w:name w:val="toc 6"/>
    <w:next w:val="Style_4"/>
    <w:link w:val="Style_16_ch"/>
    <w:uiPriority w:val="39"/>
    <w:pPr>
      <w:ind w:firstLine="0" w:left="1000"/>
    </w:pPr>
    <w:rPr>
      <w:rFonts w:ascii="XO Thames" w:hAnsi="XO Thames"/>
      <w:sz w:val="28"/>
    </w:rPr>
  </w:style>
  <w:style w:styleId="Style_16_ch" w:type="character">
    <w:name w:val="toc 6"/>
    <w:link w:val="Style_16"/>
    <w:rPr>
      <w:rFonts w:ascii="XO Thames" w:hAnsi="XO Thames"/>
      <w:sz w:val="28"/>
    </w:rPr>
  </w:style>
  <w:style w:styleId="Style_17" w:type="paragraph">
    <w:name w:val="Footnote"/>
    <w:basedOn w:val="Style_4"/>
    <w:link w:val="Style_17_ch"/>
    <w:pPr>
      <w:spacing w:after="40" w:line="240" w:lineRule="auto"/>
      <w:ind/>
    </w:pPr>
    <w:rPr>
      <w:sz w:val="18"/>
    </w:rPr>
  </w:style>
  <w:style w:styleId="Style_17_ch" w:type="character">
    <w:name w:val="Footnote"/>
    <w:basedOn w:val="Style_4_ch"/>
    <w:link w:val="Style_17"/>
    <w:rPr>
      <w:sz w:val="18"/>
    </w:rPr>
  </w:style>
  <w:style w:styleId="Style_18" w:type="paragraph">
    <w:name w:val="Intense Quote Char"/>
    <w:link w:val="Style_18_ch"/>
    <w:rPr>
      <w:i w:val="1"/>
    </w:rPr>
  </w:style>
  <w:style w:styleId="Style_18_ch" w:type="character">
    <w:name w:val="Intense Quote Char"/>
    <w:link w:val="Style_18"/>
    <w:rPr>
      <w:i w:val="1"/>
    </w:rPr>
  </w:style>
  <w:style w:styleId="Style_19" w:type="paragraph">
    <w:name w:val="toc 7"/>
    <w:next w:val="Style_4"/>
    <w:link w:val="Style_19_ch"/>
    <w:uiPriority w:val="39"/>
    <w:pPr>
      <w:ind w:firstLine="0" w:left="1200"/>
    </w:pPr>
    <w:rPr>
      <w:rFonts w:ascii="XO Thames" w:hAnsi="XO Thames"/>
      <w:sz w:val="28"/>
    </w:rPr>
  </w:style>
  <w:style w:styleId="Style_19_ch" w:type="character">
    <w:name w:val="toc 7"/>
    <w:link w:val="Style_19"/>
    <w:rPr>
      <w:rFonts w:ascii="XO Thames" w:hAnsi="XO Thames"/>
      <w:sz w:val="28"/>
    </w:rPr>
  </w:style>
  <w:style w:styleId="Style_20" w:type="paragraph">
    <w:name w:val="Гиперссылка1"/>
    <w:link w:val="Style_20_ch"/>
    <w:rPr>
      <w:color w:val="0000FF"/>
      <w:u w:val="single"/>
    </w:rPr>
  </w:style>
  <w:style w:styleId="Style_20_ch" w:type="character">
    <w:name w:val="Гиперссылка1"/>
    <w:link w:val="Style_20"/>
    <w:rPr>
      <w:color w:val="0000FF"/>
      <w:u w:val="single"/>
    </w:rPr>
  </w:style>
  <w:style w:styleId="Style_21" w:type="paragraph">
    <w:name w:val="Endnote"/>
    <w:basedOn w:val="Style_4"/>
    <w:link w:val="Style_21_ch"/>
    <w:pPr>
      <w:spacing w:after="0" w:line="240" w:lineRule="auto"/>
      <w:ind/>
    </w:pPr>
    <w:rPr>
      <w:sz w:val="20"/>
    </w:rPr>
  </w:style>
  <w:style w:styleId="Style_21_ch" w:type="character">
    <w:name w:val="Endnote"/>
    <w:basedOn w:val="Style_4_ch"/>
    <w:link w:val="Style_21"/>
    <w:rPr>
      <w:sz w:val="20"/>
    </w:rPr>
  </w:style>
  <w:style w:styleId="Style_22" w:type="paragraph">
    <w:name w:val="heading 3"/>
    <w:next w:val="Style_4"/>
    <w:link w:val="Style_2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22_ch" w:type="character">
    <w:name w:val="heading 3"/>
    <w:link w:val="Style_22"/>
    <w:rPr>
      <w:rFonts w:ascii="XO Thames" w:hAnsi="XO Thames"/>
      <w:b w:val="1"/>
      <w:sz w:val="26"/>
    </w:rPr>
  </w:style>
  <w:style w:styleId="Style_23" w:type="paragraph">
    <w:name w:val="Гиперссылка2"/>
    <w:link w:val="Style_23_ch"/>
    <w:rPr>
      <w:color w:val="0000FF"/>
      <w:u w:val="single"/>
    </w:rPr>
  </w:style>
  <w:style w:styleId="Style_23_ch" w:type="character">
    <w:name w:val="Гиперссылка2"/>
    <w:link w:val="Style_23"/>
    <w:rPr>
      <w:color w:val="0000FF"/>
      <w:u w:val="single"/>
    </w:rPr>
  </w:style>
  <w:style w:styleId="Style_24" w:type="paragraph">
    <w:name w:val="Основной шрифт абзаца1"/>
    <w:link w:val="Style_24_ch"/>
  </w:style>
  <w:style w:styleId="Style_24_ch" w:type="character">
    <w:name w:val="Основной шрифт абзаца1"/>
    <w:link w:val="Style_24"/>
  </w:style>
  <w:style w:styleId="Style_25" w:type="paragraph">
    <w:name w:val="Обычный1"/>
    <w:link w:val="Style_25_ch"/>
  </w:style>
  <w:style w:styleId="Style_25_ch" w:type="character">
    <w:name w:val="Обычный1"/>
    <w:link w:val="Style_25"/>
  </w:style>
  <w:style w:styleId="Style_26" w:type="paragraph">
    <w:name w:val="No Spacing"/>
    <w:link w:val="Style_26_ch"/>
    <w:pPr>
      <w:spacing w:after="0" w:line="240" w:lineRule="auto"/>
      <w:ind/>
    </w:pPr>
  </w:style>
  <w:style w:styleId="Style_26_ch" w:type="character">
    <w:name w:val="No Spacing"/>
    <w:link w:val="Style_26"/>
  </w:style>
  <w:style w:styleId="Style_27" w:type="paragraph">
    <w:name w:val="Знак концевой сноски1"/>
    <w:basedOn w:val="Style_11"/>
    <w:link w:val="Style_27_ch"/>
    <w:rPr>
      <w:vertAlign w:val="superscript"/>
    </w:rPr>
  </w:style>
  <w:style w:styleId="Style_27_ch" w:type="character">
    <w:name w:val="Знак концевой сноски1"/>
    <w:basedOn w:val="Style_11_ch"/>
    <w:link w:val="Style_27"/>
    <w:rPr>
      <w:vertAlign w:val="superscript"/>
    </w:rPr>
  </w:style>
  <w:style w:styleId="Style_28" w:type="paragraph">
    <w:name w:val="heading 9"/>
    <w:basedOn w:val="Style_4"/>
    <w:next w:val="Style_4"/>
    <w:link w:val="Style_28_ch"/>
    <w:uiPriority w:val="9"/>
    <w:qFormat/>
    <w:pPr>
      <w:keepNext w:val="1"/>
      <w:keepLines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28_ch" w:type="character">
    <w:name w:val="heading 9"/>
    <w:basedOn w:val="Style_4_ch"/>
    <w:link w:val="Style_28"/>
    <w:rPr>
      <w:rFonts w:ascii="Arial" w:hAnsi="Arial"/>
      <w:i w:val="1"/>
      <w:sz w:val="21"/>
    </w:rPr>
  </w:style>
  <w:style w:styleId="Style_29" w:type="paragraph">
    <w:name w:val="Обычный1"/>
    <w:link w:val="Style_29_ch"/>
  </w:style>
  <w:style w:styleId="Style_29_ch" w:type="character">
    <w:name w:val="Обычный1"/>
    <w:link w:val="Style_29"/>
  </w:style>
  <w:style w:styleId="Style_30" w:type="paragraph">
    <w:name w:val="Default Paragraph Font"/>
    <w:link w:val="Style_30_ch"/>
  </w:style>
  <w:style w:styleId="Style_30_ch" w:type="character">
    <w:name w:val="Default Paragraph Font"/>
    <w:link w:val="Style_30"/>
  </w:style>
  <w:style w:styleId="Style_31" w:type="paragraph">
    <w:name w:val="footer"/>
    <w:basedOn w:val="Style_4"/>
    <w:link w:val="Style_31_ch"/>
    <w:pPr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8"/>
    </w:rPr>
  </w:style>
  <w:style w:styleId="Style_31_ch" w:type="character">
    <w:name w:val="footer"/>
    <w:basedOn w:val="Style_4_ch"/>
    <w:link w:val="Style_31"/>
    <w:rPr>
      <w:rFonts w:ascii="Times New Roman" w:hAnsi="Times New Roman"/>
      <w:sz w:val="28"/>
    </w:rPr>
  </w:style>
  <w:style w:styleId="Style_32" w:type="paragraph">
    <w:name w:val="Heading 7 Char"/>
    <w:basedOn w:val="Style_33"/>
    <w:link w:val="Style_32_ch"/>
    <w:rPr>
      <w:rFonts w:ascii="Arial" w:hAnsi="Arial"/>
      <w:b w:val="1"/>
      <w:i w:val="1"/>
    </w:rPr>
  </w:style>
  <w:style w:styleId="Style_32_ch" w:type="character">
    <w:name w:val="Heading 7 Char"/>
    <w:basedOn w:val="Style_33_ch"/>
    <w:link w:val="Style_32"/>
    <w:rPr>
      <w:rFonts w:ascii="Arial" w:hAnsi="Arial"/>
      <w:b w:val="1"/>
      <w:i w:val="1"/>
    </w:rPr>
  </w:style>
  <w:style w:styleId="Style_34" w:type="paragraph">
    <w:name w:val="Обычный1"/>
    <w:link w:val="Style_34_ch"/>
  </w:style>
  <w:style w:styleId="Style_34_ch" w:type="character">
    <w:name w:val="Обычный1"/>
    <w:link w:val="Style_34"/>
  </w:style>
  <w:style w:styleId="Style_35" w:type="paragraph">
    <w:name w:val="Heading 3 Char"/>
    <w:basedOn w:val="Style_11"/>
    <w:link w:val="Style_35_ch"/>
    <w:rPr>
      <w:rFonts w:ascii="Arial" w:hAnsi="Arial"/>
      <w:sz w:val="30"/>
    </w:rPr>
  </w:style>
  <w:style w:styleId="Style_35_ch" w:type="character">
    <w:name w:val="Heading 3 Char"/>
    <w:basedOn w:val="Style_11_ch"/>
    <w:link w:val="Style_35"/>
    <w:rPr>
      <w:rFonts w:ascii="Arial" w:hAnsi="Arial"/>
      <w:sz w:val="30"/>
    </w:rPr>
  </w:style>
  <w:style w:styleId="Style_36" w:type="paragraph">
    <w:name w:val="Основной шрифт абзаца2"/>
    <w:link w:val="Style_36_ch"/>
  </w:style>
  <w:style w:styleId="Style_36_ch" w:type="character">
    <w:name w:val="Основной шрифт абзаца2"/>
    <w:link w:val="Style_36"/>
  </w:style>
  <w:style w:styleId="Style_37" w:type="paragraph">
    <w:name w:val="Знак концевой сноски1"/>
    <w:basedOn w:val="Style_9"/>
    <w:link w:val="Style_37_ch"/>
    <w:rPr>
      <w:vertAlign w:val="superscript"/>
    </w:rPr>
  </w:style>
  <w:style w:styleId="Style_37_ch" w:type="character">
    <w:name w:val="Знак концевой сноски1"/>
    <w:basedOn w:val="Style_9_ch"/>
    <w:link w:val="Style_37"/>
    <w:rPr>
      <w:vertAlign w:val="superscript"/>
    </w:rPr>
  </w:style>
  <w:style w:styleId="Style_38" w:type="paragraph">
    <w:name w:val="List Paragraph"/>
    <w:basedOn w:val="Style_4"/>
    <w:link w:val="Style_38_ch"/>
    <w:pPr>
      <w:ind w:firstLine="0" w:left="720"/>
      <w:contextualSpacing w:val="1"/>
    </w:pPr>
  </w:style>
  <w:style w:styleId="Style_38_ch" w:type="character">
    <w:name w:val="List Paragraph"/>
    <w:basedOn w:val="Style_4_ch"/>
    <w:link w:val="Style_38"/>
  </w:style>
  <w:style w:styleId="Style_39" w:type="paragraph">
    <w:name w:val="Heading 5 Char"/>
    <w:basedOn w:val="Style_11"/>
    <w:link w:val="Style_39_ch"/>
    <w:rPr>
      <w:rFonts w:ascii="Arial" w:hAnsi="Arial"/>
      <w:b w:val="1"/>
      <w:sz w:val="24"/>
    </w:rPr>
  </w:style>
  <w:style w:styleId="Style_39_ch" w:type="character">
    <w:name w:val="Heading 5 Char"/>
    <w:basedOn w:val="Style_11_ch"/>
    <w:link w:val="Style_39"/>
    <w:rPr>
      <w:rFonts w:ascii="Arial" w:hAnsi="Arial"/>
      <w:b w:val="1"/>
      <w:sz w:val="24"/>
    </w:rPr>
  </w:style>
  <w:style w:styleId="Style_40" w:type="paragraph">
    <w:name w:val="Обычный1"/>
    <w:link w:val="Style_40_ch"/>
  </w:style>
  <w:style w:styleId="Style_40_ch" w:type="character">
    <w:name w:val="Обычный1"/>
    <w:link w:val="Style_40"/>
  </w:style>
  <w:style w:styleId="Style_41" w:type="paragraph">
    <w:name w:val="toc 3"/>
    <w:next w:val="Style_4"/>
    <w:link w:val="Style_41_ch"/>
    <w:uiPriority w:val="39"/>
    <w:pPr>
      <w:ind w:firstLine="0" w:left="400"/>
    </w:pPr>
    <w:rPr>
      <w:rFonts w:ascii="XO Thames" w:hAnsi="XO Thames"/>
      <w:sz w:val="28"/>
    </w:rPr>
  </w:style>
  <w:style w:styleId="Style_41_ch" w:type="character">
    <w:name w:val="toc 3"/>
    <w:link w:val="Style_41"/>
    <w:rPr>
      <w:rFonts w:ascii="XO Thames" w:hAnsi="XO Thames"/>
      <w:sz w:val="28"/>
    </w:rPr>
  </w:style>
  <w:style w:styleId="Style_42" w:type="paragraph">
    <w:name w:val="Heading 8 Char"/>
    <w:basedOn w:val="Style_33"/>
    <w:link w:val="Style_42_ch"/>
    <w:rPr>
      <w:rFonts w:ascii="Arial" w:hAnsi="Arial"/>
      <w:i w:val="1"/>
    </w:rPr>
  </w:style>
  <w:style w:styleId="Style_42_ch" w:type="character">
    <w:name w:val="Heading 8 Char"/>
    <w:basedOn w:val="Style_33_ch"/>
    <w:link w:val="Style_42"/>
    <w:rPr>
      <w:rFonts w:ascii="Arial" w:hAnsi="Arial"/>
      <w:i w:val="1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4_ch"/>
    <w:link w:val="Style_1"/>
  </w:style>
  <w:style w:styleId="Style_43" w:type="paragraph">
    <w:name w:val="table of figures"/>
    <w:basedOn w:val="Style_4"/>
    <w:next w:val="Style_4"/>
    <w:link w:val="Style_43_ch"/>
    <w:pPr>
      <w:spacing w:after="0"/>
      <w:ind/>
    </w:pPr>
  </w:style>
  <w:style w:styleId="Style_43_ch" w:type="character">
    <w:name w:val="table of figures"/>
    <w:basedOn w:val="Style_4_ch"/>
    <w:link w:val="Style_43"/>
  </w:style>
  <w:style w:styleId="Style_44" w:type="paragraph">
    <w:name w:val="Heading 4 Char"/>
    <w:basedOn w:val="Style_11"/>
    <w:link w:val="Style_44_ch"/>
    <w:rPr>
      <w:rFonts w:ascii="Arial" w:hAnsi="Arial"/>
      <w:b w:val="1"/>
      <w:sz w:val="26"/>
    </w:rPr>
  </w:style>
  <w:style w:styleId="Style_44_ch" w:type="character">
    <w:name w:val="Heading 4 Char"/>
    <w:basedOn w:val="Style_11_ch"/>
    <w:link w:val="Style_44"/>
    <w:rPr>
      <w:rFonts w:ascii="Arial" w:hAnsi="Arial"/>
      <w:b w:val="1"/>
      <w:sz w:val="26"/>
    </w:rPr>
  </w:style>
  <w:style w:styleId="Style_45" w:type="paragraph">
    <w:name w:val="heading 5"/>
    <w:next w:val="Style_4"/>
    <w:link w:val="Style_4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45_ch" w:type="character">
    <w:name w:val="heading 5"/>
    <w:link w:val="Style_45"/>
    <w:rPr>
      <w:rFonts w:ascii="XO Thames" w:hAnsi="XO Thames"/>
      <w:b w:val="1"/>
    </w:rPr>
  </w:style>
  <w:style w:styleId="Style_46" w:type="paragraph">
    <w:name w:val="heading 1"/>
    <w:next w:val="Style_4"/>
    <w:link w:val="Style_4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46_ch" w:type="character">
    <w:name w:val="heading 1"/>
    <w:link w:val="Style_46"/>
    <w:rPr>
      <w:rFonts w:ascii="XO Thames" w:hAnsi="XO Thames"/>
      <w:b w:val="1"/>
      <w:sz w:val="32"/>
    </w:rPr>
  </w:style>
  <w:style w:styleId="Style_47" w:type="paragraph">
    <w:name w:val="Hyperlink"/>
    <w:link w:val="Style_47_ch"/>
    <w:rPr>
      <w:color w:val="0000FF"/>
      <w:u w:val="single"/>
    </w:rPr>
  </w:style>
  <w:style w:styleId="Style_47_ch" w:type="character">
    <w:name w:val="Hyperlink"/>
    <w:link w:val="Style_47"/>
    <w:rPr>
      <w:color w:val="0000FF"/>
      <w:u w:val="single"/>
    </w:rPr>
  </w:style>
  <w:style w:styleId="Style_48" w:type="paragraph">
    <w:name w:val="Footnote"/>
    <w:link w:val="Style_48_ch"/>
    <w:pPr>
      <w:ind w:firstLine="851" w:left="0"/>
      <w:jc w:val="both"/>
    </w:pPr>
    <w:rPr>
      <w:rFonts w:ascii="XO Thames" w:hAnsi="XO Thames"/>
    </w:rPr>
  </w:style>
  <w:style w:styleId="Style_48_ch" w:type="character">
    <w:name w:val="Footnote"/>
    <w:link w:val="Style_48"/>
    <w:rPr>
      <w:rFonts w:ascii="XO Thames" w:hAnsi="XO Thames"/>
    </w:rPr>
  </w:style>
  <w:style w:styleId="Style_49" w:type="paragraph">
    <w:name w:val="heading 8"/>
    <w:basedOn w:val="Style_4"/>
    <w:next w:val="Style_4"/>
    <w:link w:val="Style_49_ch"/>
    <w:uiPriority w:val="9"/>
    <w:qFormat/>
    <w:pPr>
      <w:keepNext w:val="1"/>
      <w:keepLines w:val="1"/>
      <w:spacing w:after="200" w:before="320"/>
      <w:ind/>
      <w:outlineLvl w:val="7"/>
    </w:pPr>
    <w:rPr>
      <w:rFonts w:ascii="Arial" w:hAnsi="Arial"/>
      <w:i w:val="1"/>
    </w:rPr>
  </w:style>
  <w:style w:styleId="Style_49_ch" w:type="character">
    <w:name w:val="heading 8"/>
    <w:basedOn w:val="Style_4_ch"/>
    <w:link w:val="Style_49"/>
    <w:rPr>
      <w:rFonts w:ascii="Arial" w:hAnsi="Arial"/>
      <w:i w:val="1"/>
    </w:rPr>
  </w:style>
  <w:style w:styleId="Style_50" w:type="paragraph">
    <w:name w:val="toc 1"/>
    <w:next w:val="Style_4"/>
    <w:link w:val="Style_50_ch"/>
    <w:uiPriority w:val="39"/>
    <w:rPr>
      <w:rFonts w:ascii="XO Thames" w:hAnsi="XO Thames"/>
      <w:b w:val="1"/>
      <w:sz w:val="28"/>
    </w:rPr>
  </w:style>
  <w:style w:styleId="Style_50_ch" w:type="character">
    <w:name w:val="toc 1"/>
    <w:link w:val="Style_50"/>
    <w:rPr>
      <w:rFonts w:ascii="XO Thames" w:hAnsi="XO Thames"/>
      <w:b w:val="1"/>
      <w:sz w:val="28"/>
    </w:rPr>
  </w:style>
  <w:style w:styleId="Style_11" w:type="paragraph">
    <w:name w:val="Основной шрифт абзаца1"/>
    <w:link w:val="Style_11_ch"/>
  </w:style>
  <w:style w:styleId="Style_11_ch" w:type="character">
    <w:name w:val="Основной шрифт абзаца1"/>
    <w:link w:val="Style_11"/>
  </w:style>
  <w:style w:styleId="Style_51" w:type="paragraph">
    <w:name w:val="Endnote"/>
    <w:basedOn w:val="Style_4"/>
    <w:link w:val="Style_51_ch"/>
    <w:pPr>
      <w:spacing w:after="0" w:line="240" w:lineRule="auto"/>
      <w:ind/>
    </w:pPr>
    <w:rPr>
      <w:sz w:val="20"/>
    </w:rPr>
  </w:style>
  <w:style w:styleId="Style_51_ch" w:type="character">
    <w:name w:val="Endnote"/>
    <w:basedOn w:val="Style_4_ch"/>
    <w:link w:val="Style_51"/>
    <w:rPr>
      <w:sz w:val="20"/>
    </w:rPr>
  </w:style>
  <w:style w:styleId="Style_52" w:type="paragraph">
    <w:name w:val="Header and Footer"/>
    <w:link w:val="Style_52_ch"/>
    <w:pPr>
      <w:spacing w:line="240" w:lineRule="auto"/>
      <w:ind/>
      <w:jc w:val="both"/>
    </w:pPr>
    <w:rPr>
      <w:rFonts w:ascii="XO Thames" w:hAnsi="XO Thames"/>
      <w:sz w:val="20"/>
    </w:rPr>
  </w:style>
  <w:style w:styleId="Style_52_ch" w:type="character">
    <w:name w:val="Header and Footer"/>
    <w:link w:val="Style_52"/>
    <w:rPr>
      <w:rFonts w:ascii="XO Thames" w:hAnsi="XO Thames"/>
      <w:sz w:val="20"/>
    </w:rPr>
  </w:style>
  <w:style w:styleId="Style_9" w:type="paragraph">
    <w:name w:val="Основной шрифт абзаца3"/>
    <w:link w:val="Style_9_ch"/>
  </w:style>
  <w:style w:styleId="Style_9_ch" w:type="character">
    <w:name w:val="Основной шрифт абзаца3"/>
    <w:link w:val="Style_9"/>
  </w:style>
  <w:style w:styleId="Style_53" w:type="paragraph">
    <w:name w:val="Subtitle Char"/>
    <w:basedOn w:val="Style_11"/>
    <w:link w:val="Style_53_ch"/>
    <w:rPr>
      <w:sz w:val="24"/>
    </w:rPr>
  </w:style>
  <w:style w:styleId="Style_53_ch" w:type="character">
    <w:name w:val="Subtitle Char"/>
    <w:basedOn w:val="Style_11_ch"/>
    <w:link w:val="Style_53"/>
    <w:rPr>
      <w:sz w:val="24"/>
    </w:rPr>
  </w:style>
  <w:style w:styleId="Style_54" w:type="paragraph">
    <w:name w:val="Обычный1"/>
    <w:link w:val="Style_54_ch"/>
  </w:style>
  <w:style w:styleId="Style_54_ch" w:type="character">
    <w:name w:val="Обычный1"/>
    <w:link w:val="Style_54"/>
  </w:style>
  <w:style w:styleId="Style_55" w:type="paragraph">
    <w:name w:val="Title Char"/>
    <w:basedOn w:val="Style_11"/>
    <w:link w:val="Style_55_ch"/>
    <w:rPr>
      <w:sz w:val="48"/>
    </w:rPr>
  </w:style>
  <w:style w:styleId="Style_55_ch" w:type="character">
    <w:name w:val="Title Char"/>
    <w:basedOn w:val="Style_11_ch"/>
    <w:link w:val="Style_55"/>
    <w:rPr>
      <w:sz w:val="48"/>
    </w:rPr>
  </w:style>
  <w:style w:styleId="Style_56" w:type="paragraph">
    <w:name w:val="Header Char"/>
    <w:basedOn w:val="Style_11"/>
    <w:link w:val="Style_56_ch"/>
  </w:style>
  <w:style w:styleId="Style_56_ch" w:type="character">
    <w:name w:val="Header Char"/>
    <w:basedOn w:val="Style_11_ch"/>
    <w:link w:val="Style_56"/>
  </w:style>
  <w:style w:styleId="Style_33" w:type="paragraph">
    <w:name w:val="Основной шрифт абзаца1"/>
    <w:link w:val="Style_33_ch"/>
  </w:style>
  <w:style w:styleId="Style_33_ch" w:type="character">
    <w:name w:val="Основной шрифт абзаца1"/>
    <w:link w:val="Style_33"/>
  </w:style>
  <w:style w:styleId="Style_57" w:type="paragraph">
    <w:name w:val="Heading 2 Char"/>
    <w:basedOn w:val="Style_11"/>
    <w:link w:val="Style_57_ch"/>
    <w:rPr>
      <w:rFonts w:ascii="Arial" w:hAnsi="Arial"/>
      <w:sz w:val="34"/>
    </w:rPr>
  </w:style>
  <w:style w:styleId="Style_57_ch" w:type="character">
    <w:name w:val="Heading 2 Char"/>
    <w:basedOn w:val="Style_11_ch"/>
    <w:link w:val="Style_57"/>
    <w:rPr>
      <w:rFonts w:ascii="Arial" w:hAnsi="Arial"/>
      <w:sz w:val="34"/>
    </w:rPr>
  </w:style>
  <w:style w:styleId="Style_58" w:type="paragraph">
    <w:name w:val="toc 9"/>
    <w:next w:val="Style_4"/>
    <w:link w:val="Style_58_ch"/>
    <w:uiPriority w:val="39"/>
    <w:pPr>
      <w:ind w:firstLine="0" w:left="1600"/>
    </w:pPr>
    <w:rPr>
      <w:rFonts w:ascii="XO Thames" w:hAnsi="XO Thames"/>
      <w:sz w:val="28"/>
    </w:rPr>
  </w:style>
  <w:style w:styleId="Style_58_ch" w:type="character">
    <w:name w:val="toc 9"/>
    <w:link w:val="Style_58"/>
    <w:rPr>
      <w:rFonts w:ascii="XO Thames" w:hAnsi="XO Thames"/>
      <w:sz w:val="28"/>
    </w:rPr>
  </w:style>
  <w:style w:styleId="Style_59" w:type="paragraph">
    <w:name w:val="Caption Char"/>
    <w:basedOn w:val="Style_60"/>
    <w:link w:val="Style_59_ch"/>
  </w:style>
  <w:style w:styleId="Style_59_ch" w:type="character">
    <w:name w:val="Caption Char"/>
    <w:basedOn w:val="Style_60_ch"/>
    <w:link w:val="Style_59"/>
  </w:style>
  <w:style w:styleId="Style_61" w:type="paragraph">
    <w:name w:val="Гиперссылка1"/>
    <w:link w:val="Style_61_ch"/>
    <w:rPr>
      <w:color w:val="0000FF"/>
      <w:u w:val="single"/>
    </w:rPr>
  </w:style>
  <w:style w:styleId="Style_61_ch" w:type="character">
    <w:name w:val="Гиперссылка1"/>
    <w:link w:val="Style_61"/>
    <w:rPr>
      <w:color w:val="0000FF"/>
      <w:u w:val="single"/>
    </w:rPr>
  </w:style>
  <w:style w:styleId="Style_62" w:type="paragraph">
    <w:name w:val="TOC Heading"/>
    <w:link w:val="Style_62_ch"/>
  </w:style>
  <w:style w:styleId="Style_62_ch" w:type="character">
    <w:name w:val="TOC Heading"/>
    <w:link w:val="Style_62"/>
  </w:style>
  <w:style w:styleId="Style_63" w:type="paragraph">
    <w:name w:val="Гиперссылка3"/>
    <w:link w:val="Style_63_ch"/>
    <w:rPr>
      <w:color w:val="0000FF"/>
      <w:u w:val="single"/>
    </w:rPr>
  </w:style>
  <w:style w:styleId="Style_63_ch" w:type="character">
    <w:name w:val="Гиперссылка3"/>
    <w:link w:val="Style_63"/>
    <w:rPr>
      <w:color w:val="0000FF"/>
      <w:u w:val="single"/>
    </w:rPr>
  </w:style>
  <w:style w:styleId="Style_64" w:type="paragraph">
    <w:name w:val="toc 8"/>
    <w:next w:val="Style_4"/>
    <w:link w:val="Style_64_ch"/>
    <w:uiPriority w:val="39"/>
    <w:pPr>
      <w:ind w:firstLine="0" w:left="1400"/>
    </w:pPr>
    <w:rPr>
      <w:rFonts w:ascii="XO Thames" w:hAnsi="XO Thames"/>
      <w:sz w:val="28"/>
    </w:rPr>
  </w:style>
  <w:style w:styleId="Style_64_ch" w:type="character">
    <w:name w:val="toc 8"/>
    <w:link w:val="Style_64"/>
    <w:rPr>
      <w:rFonts w:ascii="XO Thames" w:hAnsi="XO Thames"/>
      <w:sz w:val="28"/>
    </w:rPr>
  </w:style>
  <w:style w:styleId="Style_65" w:type="paragraph">
    <w:name w:val="Footer Char"/>
    <w:basedOn w:val="Style_11"/>
    <w:link w:val="Style_65_ch"/>
  </w:style>
  <w:style w:styleId="Style_65_ch" w:type="character">
    <w:name w:val="Footer Char"/>
    <w:basedOn w:val="Style_11_ch"/>
    <w:link w:val="Style_65"/>
  </w:style>
  <w:style w:styleId="Style_60" w:type="paragraph">
    <w:name w:val="caption"/>
    <w:basedOn w:val="Style_4"/>
    <w:next w:val="Style_4"/>
    <w:link w:val="Style_60_ch"/>
    <w:pPr>
      <w:spacing w:line="276" w:lineRule="auto"/>
      <w:ind/>
    </w:pPr>
    <w:rPr>
      <w:b w:val="1"/>
      <w:color w:themeColor="accent1" w:val="5B9BD5"/>
      <w:sz w:val="18"/>
    </w:rPr>
  </w:style>
  <w:style w:styleId="Style_60_ch" w:type="character">
    <w:name w:val="caption"/>
    <w:basedOn w:val="Style_4_ch"/>
    <w:link w:val="Style_60"/>
    <w:rPr>
      <w:b w:val="1"/>
      <w:color w:themeColor="accent1" w:val="5B9BD5"/>
      <w:sz w:val="18"/>
    </w:rPr>
  </w:style>
  <w:style w:styleId="Style_66" w:type="paragraph">
    <w:name w:val="Quote"/>
    <w:basedOn w:val="Style_4"/>
    <w:next w:val="Style_4"/>
    <w:link w:val="Style_66_ch"/>
    <w:pPr>
      <w:ind w:firstLine="0" w:left="720" w:right="720"/>
    </w:pPr>
    <w:rPr>
      <w:i w:val="1"/>
    </w:rPr>
  </w:style>
  <w:style w:styleId="Style_66_ch" w:type="character">
    <w:name w:val="Quote"/>
    <w:basedOn w:val="Style_4_ch"/>
    <w:link w:val="Style_66"/>
    <w:rPr>
      <w:i w:val="1"/>
    </w:rPr>
  </w:style>
  <w:style w:styleId="Style_67" w:type="paragraph">
    <w:name w:val="Heading 6 Char"/>
    <w:basedOn w:val="Style_33"/>
    <w:link w:val="Style_67_ch"/>
    <w:rPr>
      <w:rFonts w:ascii="Arial" w:hAnsi="Arial"/>
      <w:b w:val="1"/>
    </w:rPr>
  </w:style>
  <w:style w:styleId="Style_67_ch" w:type="character">
    <w:name w:val="Heading 6 Char"/>
    <w:basedOn w:val="Style_33_ch"/>
    <w:link w:val="Style_67"/>
    <w:rPr>
      <w:rFonts w:ascii="Arial" w:hAnsi="Arial"/>
      <w:b w:val="1"/>
    </w:rPr>
  </w:style>
  <w:style w:styleId="Style_68" w:type="paragraph">
    <w:name w:val="Footnote"/>
    <w:basedOn w:val="Style_4"/>
    <w:link w:val="Style_68_ch"/>
    <w:pPr>
      <w:spacing w:after="40" w:line="240" w:lineRule="auto"/>
      <w:ind/>
    </w:pPr>
    <w:rPr>
      <w:sz w:val="18"/>
    </w:rPr>
  </w:style>
  <w:style w:styleId="Style_68_ch" w:type="character">
    <w:name w:val="Footnote"/>
    <w:basedOn w:val="Style_4_ch"/>
    <w:link w:val="Style_68"/>
    <w:rPr>
      <w:sz w:val="18"/>
    </w:rPr>
  </w:style>
  <w:style w:styleId="Style_69" w:type="paragraph">
    <w:name w:val="Обычный1"/>
    <w:link w:val="Style_69_ch"/>
  </w:style>
  <w:style w:styleId="Style_69_ch" w:type="character">
    <w:name w:val="Обычный1"/>
    <w:link w:val="Style_69"/>
  </w:style>
  <w:style w:styleId="Style_70" w:type="paragraph">
    <w:name w:val="toc 5"/>
    <w:next w:val="Style_4"/>
    <w:link w:val="Style_70_ch"/>
    <w:uiPriority w:val="39"/>
    <w:pPr>
      <w:ind w:firstLine="0" w:left="800"/>
    </w:pPr>
    <w:rPr>
      <w:rFonts w:ascii="XO Thames" w:hAnsi="XO Thames"/>
      <w:sz w:val="28"/>
    </w:rPr>
  </w:style>
  <w:style w:styleId="Style_70_ch" w:type="character">
    <w:name w:val="toc 5"/>
    <w:link w:val="Style_70"/>
    <w:rPr>
      <w:rFonts w:ascii="XO Thames" w:hAnsi="XO Thames"/>
      <w:sz w:val="28"/>
    </w:rPr>
  </w:style>
  <w:style w:styleId="Style_71" w:type="paragraph">
    <w:name w:val="Heading 9 Char"/>
    <w:basedOn w:val="Style_33"/>
    <w:link w:val="Style_71_ch"/>
    <w:rPr>
      <w:rFonts w:ascii="Arial" w:hAnsi="Arial"/>
      <w:i w:val="1"/>
      <w:sz w:val="21"/>
    </w:rPr>
  </w:style>
  <w:style w:styleId="Style_71_ch" w:type="character">
    <w:name w:val="Heading 9 Char"/>
    <w:basedOn w:val="Style_33_ch"/>
    <w:link w:val="Style_71"/>
    <w:rPr>
      <w:rFonts w:ascii="Arial" w:hAnsi="Arial"/>
      <w:i w:val="1"/>
      <w:sz w:val="21"/>
    </w:rPr>
  </w:style>
  <w:style w:styleId="Style_72" w:type="paragraph">
    <w:name w:val="Гиперссылка1"/>
    <w:basedOn w:val="Style_24"/>
    <w:link w:val="Style_72_ch"/>
    <w:rPr>
      <w:color w:themeColor="hyperlink" w:val="0563C1"/>
      <w:u w:val="single"/>
    </w:rPr>
  </w:style>
  <w:style w:styleId="Style_72_ch" w:type="character">
    <w:name w:val="Гиперссылка1"/>
    <w:basedOn w:val="Style_24_ch"/>
    <w:link w:val="Style_72"/>
    <w:rPr>
      <w:color w:themeColor="hyperlink" w:val="0563C1"/>
      <w:u w:val="single"/>
    </w:rPr>
  </w:style>
  <w:style w:styleId="Style_73" w:type="paragraph">
    <w:name w:val="Основной шрифт абзаца1"/>
    <w:link w:val="Style_73_ch"/>
  </w:style>
  <w:style w:styleId="Style_73_ch" w:type="character">
    <w:name w:val="Основной шрифт абзаца1"/>
    <w:link w:val="Style_73"/>
  </w:style>
  <w:style w:styleId="Style_74" w:type="paragraph">
    <w:name w:val="Subtitle"/>
    <w:next w:val="Style_4"/>
    <w:link w:val="Style_7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74_ch" w:type="character">
    <w:name w:val="Subtitle"/>
    <w:link w:val="Style_74"/>
    <w:rPr>
      <w:rFonts w:ascii="XO Thames" w:hAnsi="XO Thames"/>
      <w:i w:val="1"/>
      <w:sz w:val="24"/>
    </w:rPr>
  </w:style>
  <w:style w:styleId="Style_75" w:type="paragraph">
    <w:name w:val="Endnote"/>
    <w:basedOn w:val="Style_4"/>
    <w:link w:val="Style_75_ch"/>
    <w:pPr>
      <w:spacing w:after="0" w:line="240" w:lineRule="auto"/>
      <w:ind/>
    </w:pPr>
    <w:rPr>
      <w:sz w:val="20"/>
    </w:rPr>
  </w:style>
  <w:style w:styleId="Style_75_ch" w:type="character">
    <w:name w:val="Endnote"/>
    <w:basedOn w:val="Style_4_ch"/>
    <w:link w:val="Style_75"/>
    <w:rPr>
      <w:sz w:val="20"/>
    </w:rPr>
  </w:style>
  <w:style w:styleId="Style_76" w:type="paragraph">
    <w:name w:val="Plain Text"/>
    <w:basedOn w:val="Style_4"/>
    <w:link w:val="Style_76_ch"/>
    <w:pPr>
      <w:spacing w:after="0" w:line="240" w:lineRule="auto"/>
      <w:ind/>
    </w:pPr>
    <w:rPr>
      <w:rFonts w:ascii="Calibri" w:hAnsi="Calibri"/>
    </w:rPr>
  </w:style>
  <w:style w:styleId="Style_76_ch" w:type="character">
    <w:name w:val="Plain Text"/>
    <w:basedOn w:val="Style_4_ch"/>
    <w:link w:val="Style_76"/>
    <w:rPr>
      <w:rFonts w:ascii="Calibri" w:hAnsi="Calibri"/>
    </w:rPr>
  </w:style>
  <w:style w:styleId="Style_77" w:type="paragraph">
    <w:name w:val="Title"/>
    <w:next w:val="Style_4"/>
    <w:link w:val="Style_7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77_ch" w:type="character">
    <w:name w:val="Title"/>
    <w:link w:val="Style_77"/>
    <w:rPr>
      <w:rFonts w:ascii="XO Thames" w:hAnsi="XO Thames"/>
      <w:b w:val="1"/>
      <w:caps w:val="1"/>
      <w:sz w:val="40"/>
    </w:rPr>
  </w:style>
  <w:style w:styleId="Style_78" w:type="paragraph">
    <w:name w:val="heading 4"/>
    <w:next w:val="Style_4"/>
    <w:link w:val="Style_7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78_ch" w:type="character">
    <w:name w:val="heading 4"/>
    <w:link w:val="Style_78"/>
    <w:rPr>
      <w:rFonts w:ascii="XO Thames" w:hAnsi="XO Thames"/>
      <w:b w:val="1"/>
      <w:sz w:val="24"/>
    </w:rPr>
  </w:style>
  <w:style w:styleId="Style_79" w:type="paragraph">
    <w:name w:val="Balloon Text"/>
    <w:basedOn w:val="Style_4"/>
    <w:link w:val="Style_79_ch"/>
    <w:pPr>
      <w:spacing w:after="0" w:line="240" w:lineRule="auto"/>
      <w:ind/>
    </w:pPr>
    <w:rPr>
      <w:rFonts w:ascii="Segoe UI" w:hAnsi="Segoe UI"/>
      <w:sz w:val="18"/>
    </w:rPr>
  </w:style>
  <w:style w:styleId="Style_79_ch" w:type="character">
    <w:name w:val="Balloon Text"/>
    <w:basedOn w:val="Style_4_ch"/>
    <w:link w:val="Style_79"/>
    <w:rPr>
      <w:rFonts w:ascii="Segoe UI" w:hAnsi="Segoe UI"/>
      <w:sz w:val="18"/>
    </w:rPr>
  </w:style>
  <w:style w:styleId="Style_80" w:type="paragraph">
    <w:name w:val="Quote Char"/>
    <w:link w:val="Style_80_ch"/>
    <w:rPr>
      <w:i w:val="1"/>
    </w:rPr>
  </w:style>
  <w:style w:styleId="Style_80_ch" w:type="character">
    <w:name w:val="Quote Char"/>
    <w:link w:val="Style_80"/>
    <w:rPr>
      <w:i w:val="1"/>
    </w:rPr>
  </w:style>
  <w:style w:styleId="Style_81" w:type="paragraph">
    <w:name w:val="heading 2"/>
    <w:next w:val="Style_4"/>
    <w:link w:val="Style_8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81_ch" w:type="character">
    <w:name w:val="heading 2"/>
    <w:link w:val="Style_81"/>
    <w:rPr>
      <w:rFonts w:ascii="XO Thames" w:hAnsi="XO Thames"/>
      <w:b w:val="1"/>
      <w:sz w:val="28"/>
    </w:rPr>
  </w:style>
  <w:style w:styleId="Style_82" w:type="paragraph">
    <w:name w:val="Footnote"/>
    <w:basedOn w:val="Style_4"/>
    <w:link w:val="Style_82_ch"/>
    <w:pPr>
      <w:spacing w:after="40" w:line="240" w:lineRule="auto"/>
      <w:ind/>
    </w:pPr>
    <w:rPr>
      <w:sz w:val="18"/>
    </w:rPr>
  </w:style>
  <w:style w:styleId="Style_82_ch" w:type="character">
    <w:name w:val="Footnote"/>
    <w:basedOn w:val="Style_4_ch"/>
    <w:link w:val="Style_82"/>
    <w:rPr>
      <w:sz w:val="18"/>
    </w:rPr>
  </w:style>
  <w:style w:styleId="Style_83" w:type="paragraph">
    <w:name w:val="Заголовок 5 Знак"/>
    <w:link w:val="Style_83_ch"/>
    <w:rPr>
      <w:rFonts w:ascii="XO Thames" w:hAnsi="XO Thames"/>
      <w:b w:val="1"/>
    </w:rPr>
  </w:style>
  <w:style w:styleId="Style_83_ch" w:type="character">
    <w:name w:val="Заголовок 5 Знак"/>
    <w:link w:val="Style_83"/>
    <w:rPr>
      <w:rFonts w:ascii="XO Thames" w:hAnsi="XO Thames"/>
      <w:b w:val="1"/>
    </w:rPr>
  </w:style>
  <w:style w:styleId="Style_5" w:type="paragraph">
    <w:name w:val="Endnote"/>
    <w:link w:val="Style_5_ch"/>
    <w:pPr>
      <w:ind w:firstLine="851" w:left="0"/>
      <w:jc w:val="both"/>
    </w:pPr>
    <w:rPr>
      <w:rFonts w:ascii="XO Thames" w:hAnsi="XO Thames"/>
    </w:rPr>
  </w:style>
  <w:style w:styleId="Style_5_ch" w:type="character">
    <w:name w:val="Endnote"/>
    <w:link w:val="Style_5"/>
    <w:rPr>
      <w:rFonts w:ascii="XO Thames" w:hAnsi="XO Thames"/>
    </w:rPr>
  </w:style>
  <w:style w:styleId="Style_84" w:type="paragraph">
    <w:name w:val="heading 6"/>
    <w:basedOn w:val="Style_4"/>
    <w:next w:val="Style_4"/>
    <w:link w:val="Style_84_ch"/>
    <w:uiPriority w:val="9"/>
    <w:qFormat/>
    <w:pPr>
      <w:keepNext w:val="1"/>
      <w:keepLines w:val="1"/>
      <w:spacing w:after="200" w:before="320"/>
      <w:ind/>
      <w:outlineLvl w:val="5"/>
    </w:pPr>
    <w:rPr>
      <w:rFonts w:ascii="Arial" w:hAnsi="Arial"/>
      <w:b w:val="1"/>
    </w:rPr>
  </w:style>
  <w:style w:styleId="Style_84_ch" w:type="character">
    <w:name w:val="heading 6"/>
    <w:basedOn w:val="Style_4_ch"/>
    <w:link w:val="Style_84"/>
    <w:rPr>
      <w:rFonts w:ascii="Arial" w:hAnsi="Arial"/>
      <w:b w:val="1"/>
    </w:rPr>
  </w:style>
  <w:style w:styleId="Style_85" w:type="table">
    <w:name w:val="Grid Table 2 - Accent 6"/>
    <w:basedOn w:val="Style_2"/>
    <w:pPr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6" w:type="table">
    <w:name w:val="List Table 4 - Accent 6"/>
    <w:basedOn w:val="Style_2"/>
    <w:pPr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7" w:type="table">
    <w:name w:val="List Table 1 Light - Accent 5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88" w:type="table">
    <w:name w:val="Plain Table 2"/>
    <w:basedOn w:val="Style_2"/>
    <w:pPr>
      <w:spacing w:after="0" w:line="240" w:lineRule="auto"/>
      <w:ind/>
    </w:pPr>
    <w:tblPr>
      <w:tblInd w:type="dxa" w:w="0"/>
      <w:tblBorders>
        <w:top w:sz="4" w:themeColor="text1" w:val="single"/>
        <w:left w:sz="4" w:val="nil"/>
        <w:bottom w:sz="4" w:themeColor="text1" w:val="single"/>
        <w:right w:sz="4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9" w:type="table">
    <w:name w:val="Grid Table 3 - Accent 5"/>
    <w:basedOn w:val="Style_2"/>
    <w:pPr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0" w:type="table">
    <w:name w:val="List Table 5 Dark"/>
    <w:basedOn w:val="Style_2"/>
    <w:pPr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1" w:type="table">
    <w:name w:val="List Table 7 Colorful - Accent 6"/>
    <w:basedOn w:val="Style_2"/>
    <w:pPr>
      <w:spacing w:after="0" w:line="240" w:lineRule="auto"/>
      <w:ind/>
    </w:pPr>
    <w:tblPr>
      <w:tblInd w:type="dxa" w:w="0"/>
      <w:tblBorders>
        <w:right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2" w:type="table">
    <w:name w:val="Bordered &amp; Lined - Accent 1"/>
    <w:basedOn w:val="Style_2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3" w:type="table">
    <w:name w:val="Grid Table 1 Light - Accent 6"/>
    <w:basedOn w:val="Style_2"/>
    <w:pPr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4" w:type="table">
    <w:name w:val="Grid Table 5 Dark"/>
    <w:basedOn w:val="Style_2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5" w:type="table">
    <w:name w:val="List Table 4 - Accent 2"/>
    <w:basedOn w:val="Style_2"/>
    <w:pPr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6" w:type="table">
    <w:name w:val="Grid Table 7 Colorful - Accent 4"/>
    <w:basedOn w:val="Style_2"/>
    <w:pPr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7" w:type="table">
    <w:name w:val="Сетка таблицы1"/>
    <w:basedOn w:val="Style_2"/>
    <w:pPr>
      <w:spacing w:after="0" w:line="240" w:lineRule="auto"/>
      <w:ind/>
    </w:pPr>
    <w:rPr>
      <w:rFonts w:ascii="Times New Roman" w:hAnsi="Times New Roman"/>
      <w:sz w:val="20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8" w:type="table">
    <w:name w:val="List Table 7 Colorful - Accent 5"/>
    <w:basedOn w:val="Style_2"/>
    <w:pPr>
      <w:spacing w:after="0" w:line="240" w:lineRule="auto"/>
      <w:ind/>
    </w:pPr>
    <w:tblPr>
      <w:tblInd w:type="dxa" w:w="0"/>
      <w:tblBorders>
        <w:right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9" w:type="table">
    <w:name w:val="List Table 1 Light - Accent 3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00" w:type="table">
    <w:name w:val="Grid Table 4"/>
    <w:basedOn w:val="Style_2"/>
    <w:pPr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1" w:type="table">
    <w:name w:val="Grid Table 6 Colorful - Accent 4"/>
    <w:basedOn w:val="Style_2"/>
    <w:pPr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2" w:type="table">
    <w:name w:val="List Table 4 - Accent 4"/>
    <w:basedOn w:val="Style_2"/>
    <w:pPr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3" w:type="table">
    <w:name w:val="List Table 6 Colorful"/>
    <w:basedOn w:val="Style_2"/>
    <w:pPr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4" w:type="table">
    <w:name w:val="Bordered - Accent 6"/>
    <w:basedOn w:val="Style_2"/>
    <w:pPr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5" w:type="table">
    <w:name w:val="List Table 6 Colorful - Accent 3"/>
    <w:basedOn w:val="Style_2"/>
    <w:pPr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6" w:type="table">
    <w:name w:val="List Table 2 - Accent 1"/>
    <w:basedOn w:val="Style_2"/>
    <w:pPr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7" w:type="table">
    <w:name w:val="Grid Table 4 - Accent 3"/>
    <w:basedOn w:val="Style_2"/>
    <w:pPr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8" w:type="table">
    <w:name w:val="List Table 1 Light - Accent 6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09" w:type="table">
    <w:name w:val="List Table 5 Dark - Accent 1"/>
    <w:basedOn w:val="Style_2"/>
    <w:pPr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3" w:type="table">
    <w:name w:val="Table Grid"/>
    <w:basedOn w:val="Style_2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0" w:type="table">
    <w:name w:val="Grid Table 1 Light - Accent 5"/>
    <w:basedOn w:val="Style_2"/>
    <w:pPr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1" w:type="table">
    <w:name w:val="List Table 3 - Accent 6"/>
    <w:basedOn w:val="Style_2"/>
    <w:pPr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2" w:type="table">
    <w:name w:val="Grid Table 5 Dark - Accent 3"/>
    <w:basedOn w:val="Style_2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3" w:type="table">
    <w:name w:val="List Table 1 Light - Accent 4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14" w:type="table">
    <w:name w:val="Bordered - Accent 2"/>
    <w:basedOn w:val="Style_2"/>
    <w:pPr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5" w:type="table">
    <w:name w:val="List Table 4 - Accent 5"/>
    <w:basedOn w:val="Style_2"/>
    <w:pPr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6" w:type="table">
    <w:name w:val="Bordered &amp; Lined - Accent 5"/>
    <w:basedOn w:val="Style_2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7" w:type="table">
    <w:name w:val="List Table 2 - Accent 2"/>
    <w:basedOn w:val="Style_2"/>
    <w:pPr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8" w:type="table">
    <w:name w:val="Grid Table 2 - Accent 5"/>
    <w:basedOn w:val="Style_2"/>
    <w:pPr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9" w:type="table">
    <w:name w:val="Bordered &amp; Lined - Accent 4"/>
    <w:basedOn w:val="Style_2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0" w:type="table">
    <w:name w:val="Grid Table 3 - Accent 4"/>
    <w:basedOn w:val="Style_2"/>
    <w:pPr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1" w:type="table">
    <w:name w:val="Plain Table 1"/>
    <w:basedOn w:val="Style_2"/>
    <w:pPr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2" w:type="table">
    <w:name w:val="Grid Table 1 Light"/>
    <w:basedOn w:val="Style_2"/>
    <w:pPr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3" w:type="table">
    <w:name w:val="Plain Table 5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4" w:type="table">
    <w:name w:val="List Table 2"/>
    <w:basedOn w:val="Style_2"/>
    <w:pPr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5" w:type="table">
    <w:name w:val="Lined - Accent"/>
    <w:basedOn w:val="Style_2"/>
    <w:pPr>
      <w:spacing w:after="0" w:line="240" w:lineRule="auto"/>
      <w:ind/>
    </w:pPr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6" w:type="table">
    <w:name w:val="Grid Table 2"/>
    <w:basedOn w:val="Style_2"/>
    <w:pPr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7" w:type="table">
    <w:name w:val="Grid Table 5 Dark - Accent 6"/>
    <w:basedOn w:val="Style_2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8" w:type="table">
    <w:name w:val="Bordered - Accent 3"/>
    <w:basedOn w:val="Style_2"/>
    <w:pPr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9" w:type="table">
    <w:name w:val="Lined - Accent 2"/>
    <w:basedOn w:val="Style_2"/>
    <w:pPr>
      <w:spacing w:after="0" w:line="240" w:lineRule="auto"/>
      <w:ind/>
    </w:pPr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30" w:type="table">
    <w:name w:val="Grid Table 3 - Accent 2"/>
    <w:basedOn w:val="Style_2"/>
    <w:pPr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1" w:type="table">
    <w:name w:val="List Table 5 Dark - Accent 5"/>
    <w:basedOn w:val="Style_2"/>
    <w:pPr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2" w:type="table">
    <w:name w:val="Grid Table 6 Colorful - Accent 6"/>
    <w:basedOn w:val="Style_2"/>
    <w:pPr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3" w:type="table">
    <w:name w:val="Grid Table 6 Colorful - Accent 3"/>
    <w:basedOn w:val="Style_2"/>
    <w:pPr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4" w:type="table">
    <w:name w:val="Grid Table 6 Colorful - Accent 1"/>
    <w:basedOn w:val="Style_2"/>
    <w:pPr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5" w:type="table">
    <w:name w:val="Grid Table 7 Colorful - Accent 3"/>
    <w:basedOn w:val="Style_2"/>
    <w:pPr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6" w:type="table">
    <w:name w:val="Grid Table 2 - Accent 4"/>
    <w:basedOn w:val="Style_2"/>
    <w:pPr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7" w:type="table">
    <w:name w:val="Grid Table 2 - Accent 3"/>
    <w:basedOn w:val="Style_2"/>
    <w:pPr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8" w:type="table">
    <w:name w:val="Grid Table 2 - Accent 2"/>
    <w:basedOn w:val="Style_2"/>
    <w:pPr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9" w:type="table">
    <w:name w:val="Grid Table 6 Colorful"/>
    <w:basedOn w:val="Style_2"/>
    <w:pPr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0" w:type="table">
    <w:name w:val="Plain Table 3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1" w:type="table">
    <w:name w:val="Bordered - Accent 5"/>
    <w:basedOn w:val="Style_2"/>
    <w:pPr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2" w:type="table">
    <w:name w:val="Lined - Accent 4"/>
    <w:basedOn w:val="Style_2"/>
    <w:pPr>
      <w:spacing w:after="0" w:line="240" w:lineRule="auto"/>
      <w:ind/>
    </w:pPr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3" w:type="table">
    <w:name w:val="List Table 7 Colorful - Accent 4"/>
    <w:basedOn w:val="Style_2"/>
    <w:pPr>
      <w:spacing w:after="0" w:line="240" w:lineRule="auto"/>
      <w:ind/>
    </w:pPr>
    <w:tblPr>
      <w:tblInd w:type="dxa" w:w="0"/>
      <w:tblBorders>
        <w:right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4" w:type="table">
    <w:name w:val="Bordered"/>
    <w:basedOn w:val="Style_2"/>
    <w:pPr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5" w:type="table">
    <w:name w:val="Bordered &amp; Lined - Accent 3"/>
    <w:basedOn w:val="Style_2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6" w:type="table">
    <w:name w:val="List Table 6 Colorful - Accent 1"/>
    <w:basedOn w:val="Style_2"/>
    <w:pPr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7" w:type="table">
    <w:name w:val="Grid Table 2 - Accent 1"/>
    <w:basedOn w:val="Style_2"/>
    <w:pPr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8" w:type="table">
    <w:name w:val="Lined - Accent 6"/>
    <w:basedOn w:val="Style_2"/>
    <w:pPr>
      <w:spacing w:after="0" w:line="240" w:lineRule="auto"/>
      <w:ind/>
    </w:pPr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9" w:type="table">
    <w:name w:val="Bordered - Accent 1"/>
    <w:basedOn w:val="Style_2"/>
    <w:pPr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0" w:type="table">
    <w:name w:val="List Table 1 Light - Accent 1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51" w:type="table">
    <w:name w:val="List Table 5 Dark - Accent 4"/>
    <w:basedOn w:val="Style_2"/>
    <w:pPr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2" w:type="table">
    <w:name w:val="List Table 6 Colorful - Accent 4"/>
    <w:basedOn w:val="Style_2"/>
    <w:pPr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3" w:type="table">
    <w:name w:val="Grid Table 5 Dark- Accent 4"/>
    <w:basedOn w:val="Style_2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4" w:type="table">
    <w:name w:val="Grid Table 7 Colorful"/>
    <w:basedOn w:val="Style_2"/>
    <w:pPr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5" w:type="table">
    <w:name w:val="List Table 3 - Accent 4"/>
    <w:basedOn w:val="Style_2"/>
    <w:pPr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6" w:type="table">
    <w:name w:val="List Table 2 - Accent 3"/>
    <w:basedOn w:val="Style_2"/>
    <w:pPr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7" w:type="table">
    <w:name w:val="Grid Table 1 Light - Accent 4"/>
    <w:basedOn w:val="Style_2"/>
    <w:pPr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8" w:type="table">
    <w:name w:val="List Table 5 Dark - Accent 6"/>
    <w:basedOn w:val="Style_2"/>
    <w:pPr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9" w:type="table">
    <w:name w:val="Plain Table 4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60" w:type="table">
    <w:name w:val="Grid Table 3"/>
    <w:basedOn w:val="Style_2"/>
    <w:pPr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1" w:type="table">
    <w:name w:val="Grid Table 7 Colorful - Accent 2"/>
    <w:basedOn w:val="Style_2"/>
    <w:pPr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2" w:type="table">
    <w:name w:val="Grid Table 3 - Accent 3"/>
    <w:basedOn w:val="Style_2"/>
    <w:pPr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3" w:type="table">
    <w:name w:val="Lined - Accent 1"/>
    <w:basedOn w:val="Style_2"/>
    <w:pPr>
      <w:spacing w:after="0" w:line="240" w:lineRule="auto"/>
      <w:ind/>
    </w:pPr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64" w:type="table">
    <w:name w:val="List Table 7 Colorful - Accent 3"/>
    <w:basedOn w:val="Style_2"/>
    <w:pPr>
      <w:spacing w:after="0" w:line="240" w:lineRule="auto"/>
      <w:ind/>
    </w:pPr>
    <w:tblPr>
      <w:tblInd w:type="dxa" w:w="0"/>
      <w:tblBorders>
        <w:right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5" w:type="table">
    <w:name w:val="List Table 2 - Accent 6"/>
    <w:basedOn w:val="Style_2"/>
    <w:pPr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6" w:type="table">
    <w:name w:val="Grid Table 1 Light - Accent 3"/>
    <w:basedOn w:val="Style_2"/>
    <w:pPr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7" w:type="table">
    <w:name w:val="Lined - Accent 3"/>
    <w:basedOn w:val="Style_2"/>
    <w:pPr>
      <w:spacing w:after="0" w:line="240" w:lineRule="auto"/>
      <w:ind/>
    </w:pPr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68" w:type="table">
    <w:name w:val="Grid Table 4 - Accent 5"/>
    <w:basedOn w:val="Style_2"/>
    <w:pPr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9" w:type="table">
    <w:name w:val="Grid Table 6 Colorful - Accent 5"/>
    <w:basedOn w:val="Style_2"/>
    <w:pPr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0" w:type="table">
    <w:name w:val="List Table 3 - Accent 1"/>
    <w:basedOn w:val="Style_2"/>
    <w:pPr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1" w:type="table">
    <w:name w:val="Grid Table 1 Light - Accent 1"/>
    <w:basedOn w:val="Style_2"/>
    <w:pPr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2" w:type="table">
    <w:name w:val="Bordered - Accent 4"/>
    <w:basedOn w:val="Style_2"/>
    <w:pPr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3" w:type="table">
    <w:name w:val="List Table 2 - Accent 5"/>
    <w:basedOn w:val="Style_2"/>
    <w:pPr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4" w:type="table">
    <w:name w:val="List Table 1 Light - Accent 2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75" w:type="table">
    <w:name w:val="Grid Table 4 - Accent 2"/>
    <w:basedOn w:val="Style_2"/>
    <w:pPr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6" w:type="table">
    <w:name w:val="Сетка таблицы2"/>
    <w:basedOn w:val="Style_2"/>
    <w:pPr>
      <w:spacing w:after="0" w:line="240" w:lineRule="auto"/>
      <w:ind/>
    </w:pPr>
    <w:rPr>
      <w:rFonts w:ascii="Times New Roman" w:hAnsi="Times New Roman"/>
      <w:sz w:val="20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7" w:type="table">
    <w:name w:val="Grid Table 5 Dark- Accent 1"/>
    <w:basedOn w:val="Style_2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8" w:type="table">
    <w:name w:val="List Table 7 Colorful"/>
    <w:basedOn w:val="Style_2"/>
    <w:pPr>
      <w:spacing w:after="0" w:line="240" w:lineRule="auto"/>
      <w:ind/>
    </w:pPr>
    <w:tblPr>
      <w:tblInd w:type="dxa" w:w="0"/>
      <w:tblBorders>
        <w:right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9" w:type="table">
    <w:name w:val="Grid Table 7 Colorful - Accent 5"/>
    <w:basedOn w:val="Style_2"/>
    <w:pPr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0" w:type="table">
    <w:name w:val="List Table 4"/>
    <w:basedOn w:val="Style_2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1" w:type="table">
    <w:name w:val="Grid Table 6 Colorful - Accent 2"/>
    <w:basedOn w:val="Style_2"/>
    <w:pPr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2" w:type="table">
    <w:name w:val="List Table 3 - Accent 5"/>
    <w:basedOn w:val="Style_2"/>
    <w:pPr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3" w:type="table">
    <w:name w:val="List Table 5 Dark - Accent 2"/>
    <w:basedOn w:val="Style_2"/>
    <w:pPr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4" w:type="table">
    <w:name w:val="List Table 6 Colorful - Accent 2"/>
    <w:basedOn w:val="Style_2"/>
    <w:pPr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5" w:type="table">
    <w:name w:val="List Table 2 - Accent 4"/>
    <w:basedOn w:val="Style_2"/>
    <w:pPr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6" w:type="table">
    <w:name w:val="Bordered &amp; Lined - Accent 2"/>
    <w:basedOn w:val="Style_2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7" w:type="table">
    <w:name w:val="Grid Table 3 - Accent 6"/>
    <w:basedOn w:val="Style_2"/>
    <w:pPr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8" w:type="table">
    <w:name w:val="List Table 4 - Accent 1"/>
    <w:basedOn w:val="Style_2"/>
    <w:pPr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9" w:type="table">
    <w:name w:val="List Table 4 - Accent 3"/>
    <w:basedOn w:val="Style_2"/>
    <w:pPr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0" w:type="table">
    <w:name w:val="List Table 7 Colorful - Accent 1"/>
    <w:basedOn w:val="Style_2"/>
    <w:pPr>
      <w:spacing w:after="0" w:line="240" w:lineRule="auto"/>
      <w:ind/>
    </w:pPr>
    <w:tblPr>
      <w:tblInd w:type="dxa" w:w="0"/>
      <w:tblBorders>
        <w:right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1" w:type="table">
    <w:name w:val="Grid Table 1 Light - Accent 2"/>
    <w:basedOn w:val="Style_2"/>
    <w:pPr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2" w:type="table">
    <w:name w:val="List Table 5 Dark - Accent 3"/>
    <w:basedOn w:val="Style_2"/>
    <w:pPr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3" w:type="table">
    <w:name w:val="List Table 6 Colorful - Accent 5"/>
    <w:basedOn w:val="Style_2"/>
    <w:pPr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4" w:type="table">
    <w:name w:val="Lined - Accent 5"/>
    <w:basedOn w:val="Style_2"/>
    <w:pPr>
      <w:spacing w:after="0" w:line="240" w:lineRule="auto"/>
      <w:ind/>
    </w:pPr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95" w:type="table">
    <w:name w:val="List Table 1 Light"/>
    <w:basedOn w:val="Style_2"/>
    <w:pPr>
      <w:spacing w:after="0" w:line="240" w:lineRule="auto"/>
      <w:ind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96" w:type="table">
    <w:name w:val="Grid Table 7 Colorful - Accent 6"/>
    <w:basedOn w:val="Style_2"/>
    <w:pPr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7" w:type="table">
    <w:name w:val="List Table 3 - Accent 2"/>
    <w:basedOn w:val="Style_2"/>
    <w:pPr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8" w:type="table">
    <w:name w:val="Bordered &amp; Lined - Accent 6"/>
    <w:basedOn w:val="Style_2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9" w:type="table">
    <w:name w:val="Grid Table 7 Colorful - Accent 1"/>
    <w:basedOn w:val="Style_2"/>
    <w:pPr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0" w:type="table">
    <w:name w:val="Grid Table 4 - Accent 1"/>
    <w:basedOn w:val="Style_2"/>
    <w:pPr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1" w:type="table">
    <w:name w:val="Grid Table 4 - Accent 6"/>
    <w:basedOn w:val="Style_2"/>
    <w:pPr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2" w:type="table">
    <w:name w:val="List Table 3"/>
    <w:basedOn w:val="Style_2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3" w:type="table">
    <w:name w:val="Grid Table 4 - Accent 4"/>
    <w:basedOn w:val="Style_2"/>
    <w:pPr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4" w:type="table">
    <w:name w:val="Table Grid Light"/>
    <w:basedOn w:val="Style_2"/>
    <w:pPr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5" w:type="table">
    <w:name w:val="Grid Table 5 Dark - Accent 2"/>
    <w:basedOn w:val="Style_2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6" w:type="table">
    <w:name w:val="List Table 6 Colorful - Accent 6"/>
    <w:basedOn w:val="Style_2"/>
    <w:pPr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7" w:type="table">
    <w:name w:val="Grid Table 3 - Accent 1"/>
    <w:basedOn w:val="Style_2"/>
    <w:pPr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8" w:type="table">
    <w:name w:val="List Table 7 Colorful - Accent 2"/>
    <w:basedOn w:val="Style_2"/>
    <w:pPr>
      <w:spacing w:after="0" w:line="240" w:lineRule="auto"/>
      <w:ind/>
    </w:pPr>
    <w:tblPr>
      <w:tblInd w:type="dxa" w:w="0"/>
      <w:tblBorders>
        <w:right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9" w:type="table">
    <w:name w:val="List Table 3 - Accent 3"/>
    <w:basedOn w:val="Style_2"/>
    <w:pPr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10" w:type="table">
    <w:name w:val="Bordered &amp; Lined - Accent"/>
    <w:basedOn w:val="Style_2"/>
    <w:pPr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11" w:type="table">
    <w:name w:val="Grid Table 5 Dark - Accent 5"/>
    <w:basedOn w:val="Style_2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numbering.xml" Type="http://schemas.openxmlformats.org/officeDocument/2006/relationships/numbering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media/1.jpeg" Type="http://schemas.openxmlformats.org/officeDocument/2006/relationships/imag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2023-11-24T04:12:39Z</dcterms:modified>
</cp:coreProperties>
</file>